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8F968D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eastAsia="微软雅黑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附件1</w:t>
      </w:r>
    </w:p>
    <w:p w14:paraId="25AB6911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eastAsia" w:ascii="方正仿宋_GB2312" w:hAnsi="方正仿宋_GB2312" w:eastAsia="方正仿宋_GB2312" w:cs="方正仿宋_GB2312"/>
          <w:sz w:val="32"/>
          <w:szCs w:val="32"/>
          <w:lang w:val="en-US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  <w:t>采购需求及技术要求</w:t>
      </w:r>
    </w:p>
    <w:p w14:paraId="5AAA2B4F">
      <w:pPr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/>
        <w:jc w:val="both"/>
        <w:rPr>
          <w:rFonts w:hint="eastAsia" w:ascii="黑体" w:hAnsi="宋体" w:eastAsia="黑体" w:cs="黑体"/>
          <w:sz w:val="32"/>
          <w:szCs w:val="32"/>
          <w:lang w:val="en-US"/>
        </w:rPr>
      </w:pPr>
    </w:p>
    <w:p w14:paraId="4BBEFDD9">
      <w:pPr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/>
        <w:jc w:val="both"/>
        <w:rPr>
          <w:rFonts w:hint="eastAsia" w:ascii="方正仿宋_GB2312" w:hAnsi="方正仿宋_GB2312" w:eastAsia="方正仿宋_GB2312" w:cs="方正仿宋_GB2312"/>
          <w:sz w:val="32"/>
          <w:szCs w:val="32"/>
          <w:lang w:val="en-US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一、投保主体及保险对象</w:t>
      </w:r>
    </w:p>
    <w:p w14:paraId="43577F42">
      <w:pPr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/>
        <w:jc w:val="both"/>
        <w:rPr>
          <w:rFonts w:hint="eastAsia" w:ascii="方正仿宋_GB2312" w:hAnsi="方正仿宋_GB2312" w:eastAsia="方正仿宋_GB2312" w:cs="方正仿宋_GB2312"/>
          <w:sz w:val="32"/>
          <w:szCs w:val="32"/>
          <w:lang w:val="en-US"/>
        </w:rPr>
      </w:pPr>
      <w:r>
        <w:rPr>
          <w:rFonts w:hint="eastAsia" w:ascii="方正楷体_GB2312" w:hAnsi="方正楷体_GB2312" w:eastAsia="方正楷体_GB2312" w:cs="方正楷体_GB2312"/>
          <w:kern w:val="2"/>
          <w:sz w:val="32"/>
          <w:szCs w:val="32"/>
          <w:lang w:val="en-US" w:eastAsia="zh-CN" w:bidi="ar"/>
        </w:rPr>
        <w:t>1.</w:t>
      </w: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"/>
        </w:rPr>
        <w:t>投保人：阳山县人民医院</w:t>
      </w:r>
    </w:p>
    <w:p w14:paraId="3731C753">
      <w:pPr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/>
        <w:jc w:val="both"/>
        <w:rPr>
          <w:rFonts w:hint="eastAsia" w:ascii="方正仿宋_GB2312" w:hAnsi="方正仿宋_GB2312" w:eastAsia="方正仿宋_GB2312" w:cs="方正仿宋_GB2312"/>
          <w:sz w:val="32"/>
          <w:szCs w:val="32"/>
          <w:lang w:val="en-US"/>
        </w:rPr>
      </w:pPr>
      <w:r>
        <w:rPr>
          <w:rFonts w:hint="eastAsia" w:ascii="方正楷体_GB2312" w:hAnsi="方正楷体_GB2312" w:eastAsia="方正楷体_GB2312" w:cs="方正楷体_GB2312"/>
          <w:kern w:val="2"/>
          <w:sz w:val="32"/>
          <w:szCs w:val="32"/>
          <w:lang w:val="en-US" w:eastAsia="zh-CN" w:bidi="ar"/>
        </w:rPr>
        <w:t>2.</w:t>
      </w: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"/>
        </w:rPr>
        <w:t>被保险人：（1）阳山县人民医院，（2）本院所有在职医务人员（包括医生、护士、医技人员等），（3）附加外请医务人员及进修医务人员，（4）进入我院不确定的第三方公众（包含患者、家属、访客等）。</w:t>
      </w:r>
    </w:p>
    <w:p w14:paraId="28E2DA8A">
      <w:pPr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/>
        <w:jc w:val="both"/>
        <w:rPr>
          <w:rFonts w:hint="eastAsia" w:ascii="方正仿宋_GB2312" w:hAnsi="方正仿宋_GB2312" w:eastAsia="方正仿宋_GB2312" w:cs="方正仿宋_GB2312"/>
          <w:sz w:val="32"/>
          <w:szCs w:val="32"/>
          <w:lang w:val="en-US"/>
        </w:rPr>
      </w:pPr>
      <w:r>
        <w:rPr>
          <w:rFonts w:hint="eastAsia" w:ascii="方正楷体_GB2312" w:hAnsi="方正楷体_GB2312" w:eastAsia="方正楷体_GB2312" w:cs="方正楷体_GB2312"/>
          <w:kern w:val="2"/>
          <w:sz w:val="32"/>
          <w:szCs w:val="32"/>
          <w:lang w:val="en-US" w:eastAsia="zh-CN" w:bidi="ar"/>
        </w:rPr>
        <w:t>3.</w:t>
      </w: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"/>
        </w:rPr>
        <w:t>预计人数：全院医务人员共计约 555 人。</w:t>
      </w:r>
    </w:p>
    <w:p w14:paraId="236E6B40">
      <w:pPr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/>
        <w:jc w:val="both"/>
        <w:rPr>
          <w:rFonts w:hint="eastAsia" w:ascii="方正仿宋_GB2312" w:hAnsi="方正仿宋_GB2312" w:eastAsia="方正仿宋_GB2312" w:cs="方正仿宋_GB2312"/>
          <w:sz w:val="32"/>
          <w:szCs w:val="32"/>
          <w:lang w:val="en-US"/>
        </w:rPr>
      </w:pPr>
      <w:r>
        <w:rPr>
          <w:rFonts w:hint="eastAsia" w:ascii="方正楷体_GB2312" w:hAnsi="方正楷体_GB2312" w:eastAsia="方正楷体_GB2312" w:cs="方正楷体_GB2312"/>
          <w:kern w:val="2"/>
          <w:sz w:val="32"/>
          <w:szCs w:val="32"/>
          <w:lang w:val="en-US" w:eastAsia="zh-CN" w:bidi="ar"/>
        </w:rPr>
        <w:t>4.</w:t>
      </w: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"/>
        </w:rPr>
        <w:t>床位数：485张。</w:t>
      </w:r>
    </w:p>
    <w:p w14:paraId="6857733A">
      <w:pPr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/>
        <w:jc w:val="both"/>
        <w:rPr>
          <w:rFonts w:hint="eastAsia" w:ascii="方正仿宋_GB2312" w:hAnsi="方正仿宋_GB2312" w:eastAsia="方正仿宋_GB2312" w:cs="方正仿宋_GB2312"/>
          <w:sz w:val="32"/>
          <w:szCs w:val="32"/>
          <w:lang w:val="en-US"/>
        </w:rPr>
      </w:pPr>
      <w:r>
        <w:rPr>
          <w:rFonts w:hint="eastAsia" w:ascii="方正楷体_GB2312" w:hAnsi="方正楷体_GB2312" w:eastAsia="方正楷体_GB2312" w:cs="方正楷体_GB2312"/>
          <w:kern w:val="2"/>
          <w:sz w:val="32"/>
          <w:szCs w:val="32"/>
          <w:lang w:val="en-US" w:eastAsia="zh-CN" w:bidi="ar"/>
        </w:rPr>
        <w:t>5.</w:t>
      </w: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"/>
        </w:rPr>
        <w:t>上年度出院人数：23745人次。</w:t>
      </w:r>
    </w:p>
    <w:p w14:paraId="559992E5">
      <w:pPr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/>
        <w:jc w:val="both"/>
        <w:rPr>
          <w:rFonts w:hint="eastAsia" w:ascii="方正仿宋_GB2312" w:hAnsi="方正仿宋_GB2312" w:eastAsia="方正仿宋_GB2312" w:cs="方正仿宋_GB2312"/>
          <w:sz w:val="32"/>
          <w:szCs w:val="32"/>
          <w:lang w:val="en-US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二、保险方案核心要求</w:t>
      </w: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"/>
        </w:rPr>
        <w:t xml:space="preserve"> </w:t>
      </w:r>
    </w:p>
    <w:p w14:paraId="45890032">
      <w:pPr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/>
        <w:jc w:val="both"/>
        <w:rPr>
          <w:rFonts w:hint="eastAsia" w:ascii="方正仿宋_GB2312" w:hAnsi="方正仿宋_GB2312" w:eastAsia="方正仿宋_GB2312" w:cs="方正仿宋_GB2312"/>
          <w:sz w:val="32"/>
          <w:szCs w:val="32"/>
          <w:lang w:val="en-US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"/>
        </w:rPr>
        <w:t>供应商需根据我院情况，提供完整的保险建议书，至少应包含以下内容：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9"/>
        <w:gridCol w:w="6083"/>
      </w:tblGrid>
      <w:tr w14:paraId="4E44D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183C21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00" w:lineRule="exact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lang w:val="en-US" w:eastAsia="zh-CN" w:bidi="ar"/>
              </w:rPr>
              <w:t>保障项目</w:t>
            </w:r>
          </w:p>
        </w:tc>
        <w:tc>
          <w:tcPr>
            <w:tcW w:w="6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93B7E2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00" w:lineRule="exact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lang w:val="en-US" w:eastAsia="zh-CN" w:bidi="ar"/>
              </w:rPr>
              <w:t>具体要求</w:t>
            </w:r>
          </w:p>
        </w:tc>
      </w:tr>
      <w:tr w14:paraId="5562C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D6AA6F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00" w:lineRule="exact"/>
              <w:ind w:left="0" w:right="0"/>
              <w:jc w:val="both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0"/>
                <w:szCs w:val="30"/>
                <w:lang w:val="en-US" w:eastAsia="zh-CN" w:bidi="ar"/>
              </w:rPr>
              <w:t>1.医疗责任主险</w:t>
            </w:r>
          </w:p>
        </w:tc>
        <w:tc>
          <w:tcPr>
            <w:tcW w:w="6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7EC3CE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00" w:lineRule="exact"/>
              <w:ind w:left="0" w:right="0"/>
              <w:jc w:val="both"/>
              <w:rPr>
                <w:rFonts w:hint="default" w:ascii="方正仿宋_GB2312" w:hAnsi="方正仿宋_GB2312" w:eastAsia="方正仿宋_GB2312" w:cs="方正仿宋_GB2312"/>
                <w:kern w:val="2"/>
                <w:sz w:val="30"/>
                <w:szCs w:val="30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0"/>
                <w:szCs w:val="30"/>
                <w:lang w:val="en-US" w:eastAsia="zh-CN" w:bidi="ar"/>
              </w:rPr>
              <w:t>累计赔偿限额：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lang w:val="en-US" w:eastAsia="zh-CN" w:bidi="ar"/>
              </w:rPr>
              <w:t xml:space="preserve"> 不低于人民币 150万元</w:t>
            </w:r>
          </w:p>
          <w:p w14:paraId="0B2FC46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00" w:lineRule="exact"/>
              <w:ind w:left="0" w:right="0"/>
              <w:jc w:val="both"/>
              <w:rPr>
                <w:rFonts w:hint="default" w:ascii="方正仿宋_GB2312" w:hAnsi="方正仿宋_GB2312" w:eastAsia="方正仿宋_GB2312" w:cs="方正仿宋_GB2312"/>
                <w:kern w:val="2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0"/>
                <w:szCs w:val="30"/>
                <w:lang w:val="en-US" w:eastAsia="zh-CN" w:bidi="ar"/>
              </w:rPr>
              <w:t>每次事故赔偿限额：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lang w:val="en-US" w:eastAsia="zh-CN" w:bidi="ar"/>
              </w:rPr>
              <w:t xml:space="preserve"> 不低于人民币80万元   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0"/>
                <w:szCs w:val="30"/>
                <w:lang w:val="en-US" w:eastAsia="zh-CN" w:bidi="ar"/>
              </w:rPr>
              <w:t>每人赔偿限额：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lang w:val="en-US" w:eastAsia="zh-CN" w:bidi="ar"/>
              </w:rPr>
              <w:t xml:space="preserve"> 不低于人民币30万元</w:t>
            </w:r>
          </w:p>
          <w:p w14:paraId="5FAD114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00" w:lineRule="exact"/>
              <w:ind w:left="0" w:right="0"/>
              <w:jc w:val="both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0"/>
                <w:szCs w:val="30"/>
                <w:lang w:val="en-US" w:eastAsia="zh-CN" w:bidi="ar"/>
              </w:rPr>
              <w:t>每次事故法律费用限额：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lang w:val="en-US" w:eastAsia="zh-CN" w:bidi="ar"/>
              </w:rPr>
              <w:t>不低于30万元</w:t>
            </w:r>
          </w:p>
          <w:p w14:paraId="3B3E5FE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00" w:lineRule="exact"/>
              <w:ind w:left="0" w:right="0"/>
              <w:jc w:val="both"/>
              <w:rPr>
                <w:rFonts w:hint="default" w:ascii="方正仿宋_GB2312" w:hAnsi="方正仿宋_GB2312" w:eastAsia="方正仿宋_GB2312" w:cs="方正仿宋_GB2312"/>
                <w:kern w:val="2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0"/>
                <w:szCs w:val="30"/>
                <w:lang w:val="en-US" w:eastAsia="zh-CN" w:bidi="ar"/>
              </w:rPr>
              <w:t>法律费用累计限额：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lang w:val="en-US" w:eastAsia="zh-CN" w:bidi="ar"/>
              </w:rPr>
              <w:t>不低于70万元</w:t>
            </w:r>
          </w:p>
          <w:p w14:paraId="71E0573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00" w:lineRule="exact"/>
              <w:ind w:left="0" w:right="0"/>
              <w:jc w:val="both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0"/>
                <w:szCs w:val="30"/>
                <w:lang w:val="en-US" w:eastAsia="zh-CN" w:bidi="ar"/>
              </w:rPr>
              <w:t>承保范围：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lang w:val="en-US" w:eastAsia="zh-CN" w:bidi="ar"/>
              </w:rPr>
              <w:t xml:space="preserve"> 在保险期间内，被保险人在从事诊疗护理工作中，因执业过失造成患者人身损害，依法应由被保险人承担的经济赔偿责任。</w:t>
            </w:r>
          </w:p>
        </w:tc>
      </w:tr>
      <w:tr w14:paraId="0B381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FEF920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00" w:lineRule="exact"/>
              <w:ind w:left="0" w:right="0"/>
              <w:jc w:val="both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0"/>
                <w:szCs w:val="30"/>
                <w:lang w:val="en-US" w:eastAsia="zh-CN" w:bidi="ar"/>
              </w:rPr>
              <w:t>2.公众责任保险</w:t>
            </w:r>
          </w:p>
        </w:tc>
        <w:tc>
          <w:tcPr>
            <w:tcW w:w="6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09F28B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00" w:lineRule="exact"/>
              <w:ind w:left="0" w:right="0"/>
              <w:jc w:val="both"/>
              <w:rPr>
                <w:rFonts w:hint="default" w:ascii="方正仿宋_GB2312" w:hAnsi="方正仿宋_GB2312" w:eastAsia="方正仿宋_GB2312" w:cs="方正仿宋_GB2312"/>
                <w:kern w:val="2"/>
                <w:sz w:val="30"/>
                <w:szCs w:val="30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0"/>
                <w:szCs w:val="30"/>
                <w:lang w:val="en-US" w:eastAsia="zh-CN" w:bidi="ar"/>
              </w:rPr>
              <w:t>累计赔偿限额：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lang w:val="en-US" w:eastAsia="zh-CN" w:bidi="ar"/>
              </w:rPr>
              <w:t>不低于500万元</w:t>
            </w:r>
          </w:p>
          <w:p w14:paraId="04AD6A4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00" w:lineRule="exact"/>
              <w:ind w:left="0" w:right="0"/>
              <w:jc w:val="both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0"/>
                <w:szCs w:val="30"/>
                <w:lang w:val="en-US" w:eastAsia="zh-CN" w:bidi="ar"/>
              </w:rPr>
              <w:t>每次事故赔偿限额：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lang w:val="en-US" w:eastAsia="zh-CN" w:bidi="ar"/>
              </w:rPr>
              <w:t xml:space="preserve">不低于200万元   </w:t>
            </w:r>
          </w:p>
          <w:p w14:paraId="72497EB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00" w:lineRule="exact"/>
              <w:ind w:left="0" w:right="0"/>
              <w:jc w:val="both"/>
              <w:rPr>
                <w:rFonts w:hint="default" w:ascii="方正仿宋_GB2312" w:hAnsi="方正仿宋_GB2312" w:eastAsia="方正仿宋_GB2312" w:cs="方正仿宋_GB2312"/>
                <w:kern w:val="2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0"/>
                <w:szCs w:val="30"/>
                <w:lang w:val="en-US" w:eastAsia="zh-CN" w:bidi="ar"/>
              </w:rPr>
              <w:t>每人赔偿限额：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lang w:val="en-US" w:eastAsia="zh-CN" w:bidi="ar"/>
              </w:rPr>
              <w:t>不低于100万元</w:t>
            </w:r>
          </w:p>
          <w:p w14:paraId="05F1E90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00" w:lineRule="exact"/>
              <w:ind w:left="0" w:right="0"/>
              <w:jc w:val="both"/>
              <w:rPr>
                <w:rFonts w:hint="default" w:ascii="方正仿宋_GB2312" w:hAnsi="方正仿宋_GB2312" w:eastAsia="方正仿宋_GB2312" w:cs="方正仿宋_GB2312"/>
                <w:kern w:val="2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0"/>
                <w:szCs w:val="30"/>
                <w:lang w:val="en-US" w:eastAsia="zh-CN" w:bidi="ar"/>
              </w:rPr>
              <w:t>每次事故财产损失责任限额：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lang w:val="en-US" w:eastAsia="zh-CN" w:bidi="ar"/>
              </w:rPr>
              <w:t>不低于100万元</w:t>
            </w:r>
          </w:p>
          <w:p w14:paraId="063C4DC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00" w:lineRule="exact"/>
              <w:ind w:left="0" w:right="0"/>
              <w:jc w:val="both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0"/>
                <w:szCs w:val="30"/>
                <w:lang w:val="en-US" w:eastAsia="zh-CN" w:bidi="ar"/>
              </w:rPr>
              <w:t>每次事故每人责任限额：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lang w:val="en-US" w:eastAsia="zh-CN" w:bidi="ar"/>
              </w:rPr>
              <w:t>不低于20万元</w:t>
            </w:r>
          </w:p>
          <w:p w14:paraId="1B5F73E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00" w:lineRule="exact"/>
              <w:ind w:left="0" w:right="0"/>
              <w:jc w:val="both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0"/>
                <w:szCs w:val="30"/>
                <w:lang w:val="en-US" w:eastAsia="zh-CN" w:bidi="ar"/>
              </w:rPr>
              <w:t>法律费用每次及累计限额：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lang w:val="en-US" w:eastAsia="zh-CN" w:bidi="ar"/>
              </w:rPr>
              <w:t>不低于10万元</w:t>
            </w:r>
          </w:p>
          <w:p w14:paraId="2344402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00" w:lineRule="exact"/>
              <w:ind w:left="0" w:right="0"/>
              <w:jc w:val="both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0"/>
                <w:szCs w:val="30"/>
                <w:lang w:val="en-US" w:eastAsia="zh-CN" w:bidi="ar"/>
              </w:rPr>
              <w:t>承保范围：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lang w:val="en-US" w:eastAsia="zh-CN" w:bidi="ar"/>
              </w:rPr>
              <w:t>医院范围内第三者人身伤亡、财产损失、火灾、爆炸、水损、电梯、机器设备运行造成、广告及装饰物坠落、食品卫生等造成伤亡及财产损失。</w:t>
            </w:r>
          </w:p>
        </w:tc>
      </w:tr>
      <w:tr w14:paraId="199E0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E083C0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00" w:lineRule="exact"/>
              <w:ind w:left="0" w:right="0"/>
              <w:jc w:val="both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0"/>
                <w:szCs w:val="30"/>
                <w:lang w:val="en-US" w:eastAsia="zh-CN" w:bidi="ar"/>
              </w:rPr>
              <w:t xml:space="preserve"> 3.法律费用</w:t>
            </w:r>
          </w:p>
        </w:tc>
        <w:tc>
          <w:tcPr>
            <w:tcW w:w="6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424EBD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00" w:lineRule="exact"/>
              <w:ind w:left="0" w:right="0"/>
              <w:jc w:val="both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lang w:val="en-US" w:eastAsia="zh-CN" w:bidi="ar"/>
              </w:rPr>
              <w:t>包括但不限于事故鉴定费、查勘费、取证费、诉讼费、律师费等。此项费用应单独设限，累计限额不低于80万元</w:t>
            </w:r>
            <w:bookmarkStart w:id="0" w:name="_GoBack"/>
            <w:bookmarkEnd w:id="0"/>
            <w:r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lang w:val="en-US" w:eastAsia="zh-CN" w:bidi="ar"/>
              </w:rPr>
              <w:t>，且不占用责任赔偿限额。</w:t>
            </w:r>
          </w:p>
        </w:tc>
      </w:tr>
      <w:tr w14:paraId="18D0A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9E1ED9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00" w:lineRule="exact"/>
              <w:ind w:left="0" w:right="0"/>
              <w:jc w:val="both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0"/>
                <w:szCs w:val="30"/>
                <w:lang w:val="en-US" w:eastAsia="zh-CN" w:bidi="ar"/>
              </w:rPr>
              <w:t>4.附加险要求</w:t>
            </w:r>
          </w:p>
        </w:tc>
        <w:tc>
          <w:tcPr>
            <w:tcW w:w="6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FCF5B7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00" w:lineRule="exact"/>
              <w:ind w:left="0" w:right="0"/>
              <w:jc w:val="both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0"/>
                <w:szCs w:val="30"/>
                <w:lang w:val="en-US" w:eastAsia="zh-CN" w:bidi="ar"/>
              </w:rPr>
              <w:t>附加医务人员人身伤害责任险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lang w:val="en-US" w:eastAsia="zh-CN" w:bidi="ar"/>
              </w:rPr>
              <w:t>： 保障医务人员因医疗纠纷遭受患者及其家属的人身伤害。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0"/>
                <w:szCs w:val="30"/>
                <w:lang w:val="en-US" w:eastAsia="zh-CN" w:bidi="ar"/>
              </w:rPr>
              <w:t>附加场所责任险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lang w:val="en-US" w:eastAsia="zh-CN" w:bidi="ar"/>
              </w:rPr>
              <w:t>：保障患者在医疗机构场所内发生的意外（如滑倒、摔伤）。</w:t>
            </w:r>
          </w:p>
        </w:tc>
      </w:tr>
      <w:tr w14:paraId="11535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CBC996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00" w:lineRule="exact"/>
              <w:ind w:left="0" w:right="0"/>
              <w:jc w:val="both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0"/>
                <w:szCs w:val="30"/>
                <w:lang w:val="en-US" w:eastAsia="zh-CN" w:bidi="ar"/>
              </w:rPr>
              <w:t>5.追溯期</w:t>
            </w:r>
          </w:p>
        </w:tc>
        <w:tc>
          <w:tcPr>
            <w:tcW w:w="6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894360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00" w:lineRule="exact"/>
              <w:ind w:left="0" w:right="0"/>
              <w:jc w:val="both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lang w:val="en-US" w:eastAsia="zh-CN" w:bidi="ar"/>
              </w:rPr>
              <w:t>提供“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0"/>
                <w:szCs w:val="30"/>
                <w:lang w:val="en-US" w:eastAsia="zh-CN" w:bidi="ar"/>
              </w:rPr>
              <w:t>事故发生制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lang w:val="en-US" w:eastAsia="zh-CN" w:bidi="ar"/>
              </w:rPr>
              <w:t>”或“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0"/>
                <w:szCs w:val="30"/>
                <w:lang w:val="en-US" w:eastAsia="zh-CN" w:bidi="ar"/>
              </w:rPr>
              <w:t>索赔发生制”并给予首次投保追溯期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lang w:val="en-US" w:eastAsia="zh-CN" w:bidi="ar"/>
              </w:rPr>
              <w:t>的条款说明。</w:t>
            </w:r>
          </w:p>
        </w:tc>
      </w:tr>
      <w:tr w14:paraId="15301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1B89EC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00" w:lineRule="exact"/>
              <w:ind w:left="0" w:right="0"/>
              <w:jc w:val="both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0"/>
                <w:szCs w:val="30"/>
                <w:lang w:val="en-US" w:eastAsia="zh-CN" w:bidi="ar"/>
              </w:rPr>
              <w:t>6.免赔额（额）</w:t>
            </w:r>
          </w:p>
        </w:tc>
        <w:tc>
          <w:tcPr>
            <w:tcW w:w="6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EFA180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600" w:lineRule="exact"/>
              <w:ind w:left="0" w:right="0"/>
              <w:jc w:val="both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lang w:val="en-US" w:eastAsia="zh-CN" w:bidi="ar"/>
              </w:rPr>
              <w:t>请明确每次事故的绝对免赔额或比率免赔额。</w:t>
            </w:r>
          </w:p>
        </w:tc>
      </w:tr>
    </w:tbl>
    <w:p w14:paraId="08486C26">
      <w:pPr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/>
        <w:jc w:val="both"/>
        <w:rPr>
          <w:rFonts w:hint="eastAsia" w:ascii="黑体" w:hAnsi="宋体" w:eastAsia="黑体" w:cs="黑体"/>
          <w:sz w:val="32"/>
          <w:szCs w:val="32"/>
          <w:lang w:val="en-US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三、服务要求</w:t>
      </w:r>
    </w:p>
    <w:p w14:paraId="21248D00">
      <w:pPr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/>
        <w:jc w:val="both"/>
        <w:rPr>
          <w:rFonts w:hint="eastAsia" w:ascii="方正仿宋_GB2312" w:hAnsi="方正仿宋_GB2312" w:eastAsia="方正仿宋_GB2312" w:cs="方正仿宋_GB2312"/>
          <w:sz w:val="32"/>
          <w:szCs w:val="32"/>
          <w:lang w:val="en-US"/>
        </w:rPr>
      </w:pPr>
      <w:r>
        <w:rPr>
          <w:rFonts w:hint="eastAsia" w:ascii="方正楷体_GB2312" w:hAnsi="方正楷体_GB2312" w:eastAsia="方正楷体_GB2312" w:cs="方正楷体_GB2312"/>
          <w:kern w:val="2"/>
          <w:sz w:val="32"/>
          <w:szCs w:val="32"/>
          <w:lang w:val="en-US" w:eastAsia="zh-CN" w:bidi="ar"/>
        </w:rPr>
        <w:t>1.</w:t>
      </w: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"/>
        </w:rPr>
        <w:t>理赔响应： 接到报案后，需在2小时内响应，24 小时内派员介入处理。</w:t>
      </w:r>
    </w:p>
    <w:p w14:paraId="3C293958">
      <w:pPr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/>
        <w:jc w:val="both"/>
        <w:rPr>
          <w:rFonts w:hint="eastAsia" w:ascii="方正仿宋_GB2312" w:hAnsi="方正仿宋_GB2312" w:eastAsia="方正仿宋_GB2312" w:cs="方正仿宋_GB2312"/>
          <w:sz w:val="32"/>
          <w:szCs w:val="32"/>
          <w:lang w:val="en-US"/>
        </w:rPr>
      </w:pPr>
      <w:r>
        <w:rPr>
          <w:rFonts w:hint="eastAsia" w:ascii="方正楷体_GB2312" w:hAnsi="方正楷体_GB2312" w:eastAsia="方正楷体_GB2312" w:cs="方正楷体_GB2312"/>
          <w:kern w:val="2"/>
          <w:sz w:val="32"/>
          <w:szCs w:val="32"/>
          <w:lang w:val="en-US" w:eastAsia="zh-CN" w:bidi="ar"/>
        </w:rPr>
        <w:t>2.</w:t>
      </w: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"/>
        </w:rPr>
        <w:t>理赔流程： 提供清晰、高效的理赔流程和所需材料清单。</w:t>
      </w:r>
    </w:p>
    <w:p w14:paraId="0A28E8B7">
      <w:pPr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/>
        <w:jc w:val="both"/>
        <w:rPr>
          <w:rFonts w:hint="eastAsia" w:ascii="方正仿宋_GB2312" w:hAnsi="方正仿宋_GB2312" w:eastAsia="方正仿宋_GB2312" w:cs="方正仿宋_GB2312"/>
          <w:sz w:val="32"/>
          <w:szCs w:val="32"/>
          <w:lang w:val="en-US"/>
        </w:rPr>
      </w:pPr>
      <w:r>
        <w:rPr>
          <w:rFonts w:hint="eastAsia" w:ascii="方正楷体_GB2312" w:hAnsi="方正楷体_GB2312" w:eastAsia="方正楷体_GB2312" w:cs="方正楷体_GB2312"/>
          <w:kern w:val="2"/>
          <w:sz w:val="32"/>
          <w:szCs w:val="32"/>
          <w:lang w:val="en-US" w:eastAsia="zh-CN" w:bidi="ar"/>
        </w:rPr>
        <w:t>3.</w:t>
      </w: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"/>
        </w:rPr>
        <w:t>风险培训： 承诺每年为我院医务人员提供不少于 1次的医疗风险防范与管理培训。</w:t>
      </w:r>
    </w:p>
    <w:p w14:paraId="38B6A6A1">
      <w:pPr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/>
        <w:jc w:val="both"/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"/>
        </w:rPr>
        <w:t>4.本地化服务保障：承保单位承诺确保对阳山县人民医院需求实现快速响应，接到需现场处理的通知后，服务人员应在2小时内抵达医院。</w:t>
      </w:r>
    </w:p>
    <w:p w14:paraId="26E8791B">
      <w:pPr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/>
        <w:jc w:val="both"/>
        <w:rPr>
          <w:rFonts w:hint="eastAsia" w:ascii="方正仿宋_GB2312" w:hAnsi="方正仿宋_GB2312" w:eastAsia="方正仿宋_GB2312" w:cs="方正仿宋_GB2312"/>
          <w:sz w:val="32"/>
          <w:szCs w:val="32"/>
          <w:lang w:val="en-US"/>
        </w:rPr>
      </w:pPr>
      <w:r>
        <w:rPr>
          <w:rFonts w:hint="eastAsia" w:ascii="方正楷体_GB2312" w:hAnsi="方正楷体_GB2312" w:eastAsia="方正楷体_GB2312" w:cs="方正楷体_GB2312"/>
          <w:kern w:val="2"/>
          <w:sz w:val="32"/>
          <w:szCs w:val="32"/>
          <w:lang w:val="en-US" w:eastAsia="zh-CN" w:bidi="ar"/>
        </w:rPr>
        <w:t>5.</w:t>
      </w: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"/>
        </w:rPr>
        <w:t>专属服务：指定专属客户经理和理赔专员，提供7x24小时咨询服务。</w:t>
      </w:r>
    </w:p>
    <w:p w14:paraId="3BEA7A45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400" w:lineRule="atLeast"/>
        <w:ind w:left="480" w:right="0" w:hanging="480"/>
        <w:jc w:val="both"/>
        <w:rPr>
          <w:rFonts w:hint="eastAsia" w:ascii="方正仿宋_GB2312" w:hAnsi="方正仿宋_GB2312" w:eastAsia="方正仿宋_GB2312" w:cs="方正仿宋_GB2312"/>
          <w:sz w:val="32"/>
          <w:szCs w:val="32"/>
          <w:shd w:val="clear" w:fill="FFFFFF"/>
          <w:lang w:val="en-US"/>
        </w:rPr>
      </w:pPr>
      <w:r>
        <w:rPr>
          <w:rFonts w:hint="eastAsia" w:ascii="方正楷体_GB2312" w:hAnsi="方正楷体_GB2312" w:eastAsia="方正楷体_GB2312" w:cs="方正楷体_GB2312"/>
          <w:kern w:val="2"/>
          <w:sz w:val="32"/>
          <w:szCs w:val="32"/>
          <w:shd w:val="clear" w:fill="FFFFFF"/>
          <w:lang w:val="en-US" w:eastAsia="zh-CN" w:bidi="ar"/>
        </w:rPr>
        <w:t>6.</w:t>
      </w: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shd w:val="clear" w:fill="FFFFFF"/>
          <w:lang w:val="en-US" w:eastAsia="zh-CN" w:bidi="ar"/>
        </w:rPr>
        <w:t>纠纷调解： 积极配合医院参与医疗纠纷的调解、协商和诉</w:t>
      </w:r>
    </w:p>
    <w:p w14:paraId="78192CDC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400" w:lineRule="atLeast"/>
        <w:ind w:left="480" w:right="0" w:hanging="480"/>
        <w:jc w:val="both"/>
        <w:rPr>
          <w:rFonts w:hint="eastAsia" w:ascii="方正仿宋_GB2312" w:hAnsi="方正仿宋_GB2312" w:eastAsia="方正仿宋_GB2312" w:cs="方正仿宋_GB2312"/>
          <w:sz w:val="32"/>
          <w:szCs w:val="32"/>
          <w:shd w:val="clear" w:fill="FFFFFF"/>
          <w:lang w:val="en-US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shd w:val="clear" w:fill="FFFFFF"/>
          <w:lang w:val="en-US" w:eastAsia="zh-CN" w:bidi="ar"/>
        </w:rPr>
        <w:t>讼活动。</w:t>
      </w:r>
    </w:p>
    <w:p w14:paraId="4D3C2FCE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400" w:lineRule="atLeast"/>
        <w:ind w:left="480" w:right="0" w:hanging="480"/>
        <w:jc w:val="left"/>
        <w:rPr>
          <w:rFonts w:hint="eastAsia" w:ascii="方正仿宋_GB2312" w:hAnsi="方正仿宋_GB2312" w:eastAsia="方正仿宋_GB2312" w:cs="方正仿宋_GB2312"/>
          <w:sz w:val="32"/>
          <w:szCs w:val="32"/>
          <w:shd w:val="clear" w:fill="FFFFFF"/>
          <w:lang w:val="en-US"/>
        </w:rPr>
      </w:pPr>
      <w:r>
        <w:rPr>
          <w:rFonts w:hint="eastAsia" w:ascii="黑体" w:hAnsi="宋体" w:eastAsia="黑体" w:cs="黑体"/>
          <w:kern w:val="2"/>
          <w:sz w:val="32"/>
          <w:szCs w:val="32"/>
          <w:shd w:val="clear" w:fill="FFFFFF"/>
          <w:lang w:val="en-US" w:eastAsia="zh-CN" w:bidi="ar"/>
        </w:rPr>
        <w:t>四、付款条件及方法</w:t>
      </w: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shd w:val="clear" w:fill="FFFFFF"/>
          <w:lang w:val="en-US" w:eastAsia="zh-CN" w:bidi="ar"/>
        </w:rPr>
        <w:t>：保险合同正式生效且（乙方）保险公司开具等额合规发票后30个工作日内，甲方向乙方支付全年总保费的100%。</w:t>
      </w:r>
    </w:p>
    <w:p w14:paraId="3139E05C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400" w:lineRule="atLeast"/>
        <w:ind w:left="480" w:right="0" w:hanging="480"/>
        <w:jc w:val="left"/>
        <w:rPr>
          <w:rFonts w:hint="eastAsia" w:ascii="方正仿宋_GB2312" w:hAnsi="方正仿宋_GB2312" w:eastAsia="方正仿宋_GB2312" w:cs="方正仿宋_GB2312"/>
          <w:sz w:val="32"/>
          <w:szCs w:val="32"/>
          <w:shd w:val="clear" w:fill="FFFFFF"/>
          <w:lang w:val="en-US"/>
        </w:rPr>
      </w:pPr>
      <w:r>
        <w:rPr>
          <w:rFonts w:hint="eastAsia" w:ascii="黑体" w:hAnsi="宋体" w:eastAsia="黑体" w:cs="黑体"/>
          <w:kern w:val="2"/>
          <w:sz w:val="32"/>
          <w:szCs w:val="32"/>
          <w:shd w:val="clear" w:fill="FFFFFF"/>
          <w:lang w:val="en-US" w:eastAsia="zh-CN" w:bidi="ar"/>
        </w:rPr>
        <w:t>五、服务承诺：</w:t>
      </w: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shd w:val="clear" w:fill="FFFFFF"/>
          <w:lang w:val="en-US" w:eastAsia="zh-CN" w:bidi="ar"/>
        </w:rPr>
        <w:t>询价供应商就以上保险服务作出各自的承诺。（无售后服务承诺的作无效报价处理）。</w:t>
      </w:r>
    </w:p>
    <w:p w14:paraId="3FE97B06">
      <w:pPr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/>
        <w:jc w:val="both"/>
        <w:rPr>
          <w:rFonts w:hint="eastAsia" w:ascii="方正仿宋_GB2312" w:hAnsi="方正仿宋_GB2312" w:eastAsia="方正仿宋_GB2312" w:cs="方正仿宋_GB2312"/>
          <w:sz w:val="32"/>
          <w:szCs w:val="32"/>
          <w:lang w:val="en-US"/>
        </w:rPr>
      </w:pPr>
    </w:p>
    <w:p w14:paraId="319766C0">
      <w:pPr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/>
        <w:jc w:val="both"/>
        <w:rPr>
          <w:rFonts w:hint="eastAsia" w:ascii="方正仿宋_GB2312" w:hAnsi="方正仿宋_GB2312" w:eastAsia="方正仿宋_GB2312" w:cs="方正仿宋_GB2312"/>
          <w:sz w:val="32"/>
          <w:szCs w:val="32"/>
          <w:lang w:val="en-US"/>
        </w:rPr>
      </w:pPr>
    </w:p>
    <w:p w14:paraId="78E14601">
      <w:pPr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/>
        <w:jc w:val="both"/>
        <w:rPr>
          <w:rFonts w:hint="eastAsia" w:ascii="方正仿宋_GB2312" w:hAnsi="方正仿宋_GB2312" w:eastAsia="方正仿宋_GB2312" w:cs="方正仿宋_GB2312"/>
          <w:sz w:val="32"/>
          <w:szCs w:val="32"/>
          <w:lang w:val="en-US"/>
        </w:rPr>
      </w:pPr>
    </w:p>
    <w:p w14:paraId="5CF190EC">
      <w:pPr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/>
        <w:jc w:val="both"/>
        <w:rPr>
          <w:rFonts w:hint="eastAsia" w:ascii="方正仿宋_GB2312" w:hAnsi="方正仿宋_GB2312" w:eastAsia="方正仿宋_GB2312" w:cs="方正仿宋_GB2312"/>
          <w:sz w:val="32"/>
          <w:szCs w:val="32"/>
          <w:lang w:val="en-US"/>
        </w:rPr>
      </w:pPr>
    </w:p>
    <w:p w14:paraId="7BAD1DED">
      <w:pPr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/>
        <w:jc w:val="both"/>
        <w:rPr>
          <w:rFonts w:hint="eastAsia" w:ascii="方正仿宋_GB2312" w:hAnsi="方正仿宋_GB2312" w:eastAsia="方正仿宋_GB2312" w:cs="方正仿宋_GB2312"/>
          <w:sz w:val="32"/>
          <w:szCs w:val="32"/>
          <w:lang w:val="en-US"/>
        </w:rPr>
      </w:pPr>
    </w:p>
    <w:p w14:paraId="4DF74836">
      <w:pPr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/>
        <w:jc w:val="both"/>
        <w:rPr>
          <w:rFonts w:hint="eastAsia" w:ascii="方正仿宋_GB2312" w:hAnsi="方正仿宋_GB2312" w:eastAsia="方正仿宋_GB2312" w:cs="方正仿宋_GB2312"/>
          <w:sz w:val="32"/>
          <w:szCs w:val="32"/>
          <w:lang w:val="en-US"/>
        </w:rPr>
      </w:pPr>
    </w:p>
    <w:p w14:paraId="7B0FB8CB">
      <w:pPr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/>
        <w:jc w:val="both"/>
        <w:rPr>
          <w:rFonts w:hint="eastAsia" w:ascii="方正仿宋_GB2312" w:hAnsi="方正仿宋_GB2312" w:eastAsia="方正仿宋_GB2312" w:cs="方正仿宋_GB2312"/>
          <w:sz w:val="32"/>
          <w:szCs w:val="32"/>
          <w:lang w:val="en-US"/>
        </w:rPr>
      </w:pPr>
    </w:p>
    <w:p w14:paraId="68B09C1A">
      <w:pPr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/>
        <w:jc w:val="both"/>
        <w:rPr>
          <w:rFonts w:hint="eastAsia" w:ascii="方正仿宋_GB2312" w:hAnsi="方正仿宋_GB2312" w:eastAsia="方正仿宋_GB2312" w:cs="方正仿宋_GB2312"/>
          <w:sz w:val="32"/>
          <w:szCs w:val="32"/>
          <w:lang w:val="en-US"/>
        </w:rPr>
      </w:pPr>
    </w:p>
    <w:p w14:paraId="298D0F16">
      <w:pPr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/>
        <w:jc w:val="both"/>
        <w:rPr>
          <w:rFonts w:hint="eastAsia" w:ascii="方正仿宋_GB2312" w:hAnsi="方正仿宋_GB2312" w:eastAsia="方正仿宋_GB2312" w:cs="方正仿宋_GB2312"/>
          <w:sz w:val="32"/>
          <w:szCs w:val="32"/>
          <w:lang w:val="en-US"/>
        </w:rPr>
      </w:pPr>
    </w:p>
    <w:p w14:paraId="03A81161">
      <w:pPr>
        <w:ind w:firstLine="6160" w:firstLineChars="2200"/>
        <w:rPr>
          <w:sz w:val="28"/>
          <w:szCs w:val="28"/>
        </w:rPr>
      </w:pP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FangSong_GB2312">
    <w:altName w:val="仿宋_GB2312"/>
    <w:panose1 w:val="02010609060101010101"/>
    <w:charset w:val="00"/>
    <w:family w:val="roman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仿宋_GB2312">
    <w:altName w:val="微软雅黑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楷体_GB2312">
    <w:altName w:val="宋体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KSOFE44433F1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E5F90C90">
    <w:panose1 w:val="020B07030202040202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20"/>
  <w:doNotHyphenateCaps/>
  <w:displayHorizontalDrawingGridEvery w:val="1"/>
  <w:displayVerticalDrawingGridEvery w:val="1"/>
  <w:noPunctuationKerning w:val="1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0"/>
    <w:footnote w:id="1"/>
  </w:footnotePr>
  <w:compat>
    <w:balanceSingleByteDoubleByteWidth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50"/>
    <w:rsid w:val="00015CCC"/>
    <w:rsid w:val="00050920"/>
    <w:rsid w:val="00050B31"/>
    <w:rsid w:val="0005124E"/>
    <w:rsid w:val="00056AA1"/>
    <w:rsid w:val="000A0692"/>
    <w:rsid w:val="000B6E1D"/>
    <w:rsid w:val="000C006A"/>
    <w:rsid w:val="000C1DFF"/>
    <w:rsid w:val="00117D0D"/>
    <w:rsid w:val="00132D51"/>
    <w:rsid w:val="00150D7B"/>
    <w:rsid w:val="001664E0"/>
    <w:rsid w:val="00177711"/>
    <w:rsid w:val="001943AE"/>
    <w:rsid w:val="001A4FFF"/>
    <w:rsid w:val="001A695E"/>
    <w:rsid w:val="001E789F"/>
    <w:rsid w:val="00210E45"/>
    <w:rsid w:val="00222ADF"/>
    <w:rsid w:val="00226B29"/>
    <w:rsid w:val="002401C6"/>
    <w:rsid w:val="00293A7D"/>
    <w:rsid w:val="002A7B88"/>
    <w:rsid w:val="002F3C17"/>
    <w:rsid w:val="00304E7E"/>
    <w:rsid w:val="003137A0"/>
    <w:rsid w:val="00323B43"/>
    <w:rsid w:val="0033247B"/>
    <w:rsid w:val="00341E84"/>
    <w:rsid w:val="00375A27"/>
    <w:rsid w:val="0038673E"/>
    <w:rsid w:val="003A01C2"/>
    <w:rsid w:val="003A28C6"/>
    <w:rsid w:val="003B1334"/>
    <w:rsid w:val="003C2EEE"/>
    <w:rsid w:val="003C5625"/>
    <w:rsid w:val="003D37D8"/>
    <w:rsid w:val="003E701B"/>
    <w:rsid w:val="004178B3"/>
    <w:rsid w:val="00420209"/>
    <w:rsid w:val="00426133"/>
    <w:rsid w:val="004358AB"/>
    <w:rsid w:val="00465B97"/>
    <w:rsid w:val="004B10B4"/>
    <w:rsid w:val="004B4DBD"/>
    <w:rsid w:val="004B7902"/>
    <w:rsid w:val="004C26AE"/>
    <w:rsid w:val="004F0ED9"/>
    <w:rsid w:val="004F2846"/>
    <w:rsid w:val="004F3523"/>
    <w:rsid w:val="004F4D01"/>
    <w:rsid w:val="004F6E19"/>
    <w:rsid w:val="00506E4A"/>
    <w:rsid w:val="0050742E"/>
    <w:rsid w:val="00550494"/>
    <w:rsid w:val="00550B75"/>
    <w:rsid w:val="00550C26"/>
    <w:rsid w:val="005549D3"/>
    <w:rsid w:val="00585AD0"/>
    <w:rsid w:val="005C5B01"/>
    <w:rsid w:val="005E1518"/>
    <w:rsid w:val="006062EB"/>
    <w:rsid w:val="00610695"/>
    <w:rsid w:val="00613DCB"/>
    <w:rsid w:val="00647423"/>
    <w:rsid w:val="00647CED"/>
    <w:rsid w:val="00663D5A"/>
    <w:rsid w:val="006A4051"/>
    <w:rsid w:val="006C4D4F"/>
    <w:rsid w:val="006E4C3D"/>
    <w:rsid w:val="00711CFD"/>
    <w:rsid w:val="00724C58"/>
    <w:rsid w:val="007267EF"/>
    <w:rsid w:val="0072771F"/>
    <w:rsid w:val="00741DB9"/>
    <w:rsid w:val="00744D9C"/>
    <w:rsid w:val="007460BE"/>
    <w:rsid w:val="00764D47"/>
    <w:rsid w:val="00782371"/>
    <w:rsid w:val="007A2D5D"/>
    <w:rsid w:val="007B3BBE"/>
    <w:rsid w:val="007B7FDA"/>
    <w:rsid w:val="007C2713"/>
    <w:rsid w:val="008308E2"/>
    <w:rsid w:val="008527E1"/>
    <w:rsid w:val="00854B1F"/>
    <w:rsid w:val="00870E91"/>
    <w:rsid w:val="00877D81"/>
    <w:rsid w:val="008A1E02"/>
    <w:rsid w:val="008B7726"/>
    <w:rsid w:val="008D100B"/>
    <w:rsid w:val="008D1205"/>
    <w:rsid w:val="008F48CD"/>
    <w:rsid w:val="008F72DA"/>
    <w:rsid w:val="0091486B"/>
    <w:rsid w:val="00947855"/>
    <w:rsid w:val="009671D9"/>
    <w:rsid w:val="0098324C"/>
    <w:rsid w:val="00995458"/>
    <w:rsid w:val="009A1F06"/>
    <w:rsid w:val="009B0486"/>
    <w:rsid w:val="009B646B"/>
    <w:rsid w:val="00A1254F"/>
    <w:rsid w:val="00A16226"/>
    <w:rsid w:val="00A26C19"/>
    <w:rsid w:val="00A317F5"/>
    <w:rsid w:val="00A500F5"/>
    <w:rsid w:val="00A90CE0"/>
    <w:rsid w:val="00AA77BC"/>
    <w:rsid w:val="00AB2C60"/>
    <w:rsid w:val="00AD0DDB"/>
    <w:rsid w:val="00AF1B74"/>
    <w:rsid w:val="00B26C9D"/>
    <w:rsid w:val="00B443CD"/>
    <w:rsid w:val="00B8490A"/>
    <w:rsid w:val="00B87093"/>
    <w:rsid w:val="00B91051"/>
    <w:rsid w:val="00BA0B19"/>
    <w:rsid w:val="00BF05B9"/>
    <w:rsid w:val="00C0390E"/>
    <w:rsid w:val="00C2600A"/>
    <w:rsid w:val="00C3214F"/>
    <w:rsid w:val="00C5460D"/>
    <w:rsid w:val="00CD6450"/>
    <w:rsid w:val="00CE3D7C"/>
    <w:rsid w:val="00CF484E"/>
    <w:rsid w:val="00CF50FC"/>
    <w:rsid w:val="00D203B1"/>
    <w:rsid w:val="00D31D50"/>
    <w:rsid w:val="00D57302"/>
    <w:rsid w:val="00DB4F29"/>
    <w:rsid w:val="00DE3952"/>
    <w:rsid w:val="00E03909"/>
    <w:rsid w:val="00E20817"/>
    <w:rsid w:val="00E27F3C"/>
    <w:rsid w:val="00E3216C"/>
    <w:rsid w:val="00E36FE2"/>
    <w:rsid w:val="00EA0DFD"/>
    <w:rsid w:val="00EA5B52"/>
    <w:rsid w:val="00EC5306"/>
    <w:rsid w:val="00EC5608"/>
    <w:rsid w:val="00EC6881"/>
    <w:rsid w:val="00EE4844"/>
    <w:rsid w:val="00F0753E"/>
    <w:rsid w:val="00F10C21"/>
    <w:rsid w:val="00F23827"/>
    <w:rsid w:val="00F372A9"/>
    <w:rsid w:val="00F67DF3"/>
    <w:rsid w:val="00F70565"/>
    <w:rsid w:val="00F72E5E"/>
    <w:rsid w:val="00FC24EA"/>
    <w:rsid w:val="051859FE"/>
    <w:rsid w:val="1FD74A58"/>
    <w:rsid w:val="247E78BB"/>
    <w:rsid w:val="3F5A01FC"/>
    <w:rsid w:val="44830D1B"/>
    <w:rsid w:val="45747292"/>
    <w:rsid w:val="49370AF7"/>
    <w:rsid w:val="554E55C2"/>
    <w:rsid w:val="561A4080"/>
    <w:rsid w:val="692566C4"/>
    <w:rsid w:val="7DEE4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nhideWhenUsed="0" w:uiPriority="99" w:semiHidden="0" w:name="heading 2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ahoma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link w:val="22"/>
    <w:qFormat/>
    <w:locked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3"/>
    <w:qFormat/>
    <w:uiPriority w:val="99"/>
    <w:pPr>
      <w:adjustRightInd/>
      <w:snapToGrid/>
      <w:spacing w:before="100" w:beforeAutospacing="1" w:after="100" w:afterAutospacing="1"/>
      <w:outlineLvl w:val="1"/>
    </w:pPr>
    <w:rPr>
      <w:rFonts w:ascii="宋体" w:hAnsi="宋体" w:eastAsia="宋体" w:cs="宋体"/>
      <w:b/>
      <w:bCs/>
      <w:sz w:val="36"/>
      <w:szCs w:val="36"/>
    </w:rPr>
  </w:style>
  <w:style w:type="paragraph" w:styleId="4">
    <w:name w:val="heading 4"/>
    <w:basedOn w:val="1"/>
    <w:next w:val="1"/>
    <w:link w:val="23"/>
    <w:semiHidden/>
    <w:unhideWhenUsed/>
    <w:qFormat/>
    <w:locked/>
    <w:uiPriority w:val="0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ascii="Calibri" w:hAnsi="Calibri" w:eastAsia="宋体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5"/>
    <w:semiHidden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6">
    <w:name w:val="header"/>
    <w:basedOn w:val="1"/>
    <w:link w:val="14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99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table" w:styleId="9">
    <w:name w:val="Table Grid"/>
    <w:basedOn w:val="8"/>
    <w:qFormat/>
    <w:uiPriority w:val="99"/>
    <w:rPr>
      <w:rFonts w:cs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Hyperlink"/>
    <w:basedOn w:val="10"/>
    <w:qFormat/>
    <w:uiPriority w:val="99"/>
    <w:rPr>
      <w:color w:val="0000FF"/>
      <w:u w:val="single"/>
    </w:rPr>
  </w:style>
  <w:style w:type="character" w:customStyle="1" w:styleId="13">
    <w:name w:val="标题 2 Char"/>
    <w:basedOn w:val="10"/>
    <w:link w:val="3"/>
    <w:qFormat/>
    <w:locked/>
    <w:uiPriority w:val="99"/>
    <w:rPr>
      <w:rFonts w:ascii="宋体" w:hAnsi="宋体" w:eastAsia="宋体" w:cs="宋体"/>
      <w:b/>
      <w:bCs/>
      <w:sz w:val="36"/>
      <w:szCs w:val="36"/>
    </w:rPr>
  </w:style>
  <w:style w:type="character" w:customStyle="1" w:styleId="14">
    <w:name w:val="页眉 Char"/>
    <w:basedOn w:val="10"/>
    <w:link w:val="6"/>
    <w:semiHidden/>
    <w:qFormat/>
    <w:locked/>
    <w:uiPriority w:val="99"/>
    <w:rPr>
      <w:rFonts w:ascii="Tahoma" w:hAnsi="Tahoma" w:cs="Tahoma"/>
      <w:sz w:val="18"/>
      <w:szCs w:val="18"/>
    </w:rPr>
  </w:style>
  <w:style w:type="character" w:customStyle="1" w:styleId="15">
    <w:name w:val="页脚 Char"/>
    <w:basedOn w:val="10"/>
    <w:link w:val="5"/>
    <w:semiHidden/>
    <w:qFormat/>
    <w:locked/>
    <w:uiPriority w:val="99"/>
    <w:rPr>
      <w:rFonts w:ascii="Tahoma" w:hAnsi="Tahoma" w:cs="Tahoma"/>
      <w:sz w:val="18"/>
      <w:szCs w:val="18"/>
    </w:rPr>
  </w:style>
  <w:style w:type="paragraph" w:styleId="16">
    <w:name w:val="List Paragraph"/>
    <w:basedOn w:val="1"/>
    <w:qFormat/>
    <w:uiPriority w:val="99"/>
    <w:pPr>
      <w:ind w:firstLine="420" w:firstLineChars="200"/>
    </w:pPr>
  </w:style>
  <w:style w:type="character" w:customStyle="1" w:styleId="17">
    <w:name w:val="NormalCharacter"/>
    <w:semiHidden/>
    <w:qFormat/>
    <w:uiPriority w:val="99"/>
  </w:style>
  <w:style w:type="character" w:customStyle="1" w:styleId="18">
    <w:name w:val="fontstyle01"/>
    <w:basedOn w:val="10"/>
    <w:qFormat/>
    <w:uiPriority w:val="0"/>
    <w:rPr>
      <w:rFonts w:hint="eastAsia" w:ascii="宋体" w:hAnsi="宋体" w:eastAsia="宋体"/>
      <w:color w:val="000000"/>
      <w:sz w:val="24"/>
      <w:szCs w:val="24"/>
    </w:rPr>
  </w:style>
  <w:style w:type="character" w:customStyle="1" w:styleId="19">
    <w:name w:val="fontstyle21"/>
    <w:basedOn w:val="10"/>
    <w:qFormat/>
    <w:uiPriority w:val="0"/>
    <w:rPr>
      <w:rFonts w:hint="default" w:ascii="仿宋" w:hAnsi="仿宋"/>
      <w:color w:val="000000"/>
      <w:sz w:val="24"/>
      <w:szCs w:val="24"/>
    </w:rPr>
  </w:style>
  <w:style w:type="character" w:customStyle="1" w:styleId="20">
    <w:name w:val="fontstyle31"/>
    <w:basedOn w:val="10"/>
    <w:qFormat/>
    <w:uiPriority w:val="0"/>
    <w:rPr>
      <w:rFonts w:hint="default" w:ascii="FangSong_GB2312" w:hAnsi="FangSong_GB2312"/>
      <w:color w:val="000000"/>
      <w:sz w:val="24"/>
      <w:szCs w:val="24"/>
    </w:rPr>
  </w:style>
  <w:style w:type="character" w:customStyle="1" w:styleId="21">
    <w:name w:val="fontstyle41"/>
    <w:basedOn w:val="10"/>
    <w:qFormat/>
    <w:uiPriority w:val="0"/>
    <w:rPr>
      <w:rFonts w:hint="default" w:ascii="TimesNewRomanPSMT" w:hAnsi="TimesNewRomanPSMT"/>
      <w:color w:val="000000"/>
      <w:sz w:val="18"/>
      <w:szCs w:val="18"/>
    </w:rPr>
  </w:style>
  <w:style w:type="character" w:customStyle="1" w:styleId="22">
    <w:name w:val="标题 1 Char"/>
    <w:basedOn w:val="10"/>
    <w:link w:val="2"/>
    <w:qFormat/>
    <w:uiPriority w:val="0"/>
    <w:rPr>
      <w:rFonts w:ascii="Tahoma" w:hAnsi="Tahoma" w:cs="Tahoma"/>
      <w:b/>
      <w:bCs/>
      <w:kern w:val="44"/>
      <w:sz w:val="44"/>
      <w:szCs w:val="44"/>
    </w:rPr>
  </w:style>
  <w:style w:type="character" w:customStyle="1" w:styleId="23">
    <w:name w:val="标题 4 Char"/>
    <w:basedOn w:val="10"/>
    <w:link w:val="4"/>
    <w:semiHidden/>
    <w:qFormat/>
    <w:uiPriority w:val="0"/>
    <w:rPr>
      <w:rFonts w:asciiTheme="majorHAnsi" w:hAnsiTheme="majorHAnsi" w:eastAsiaTheme="majorEastAsia" w:cstheme="majorBidi"/>
      <w:b/>
      <w:bCs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1057</Words>
  <Characters>1105</Characters>
  <Lines>6</Lines>
  <Paragraphs>1</Paragraphs>
  <TotalTime>1</TotalTime>
  <ScaleCrop>false</ScaleCrop>
  <LinksUpToDate>false</LinksUpToDate>
  <CharactersWithSpaces>1127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2023-03-31T01:36:00Z</dcterms:created>
  <dc:creator>Administrator</dc:creator>
  <cp:lastModifiedBy>招采办冯</cp:lastModifiedBy>
  <cp:lastPrinted>2021-11-03T00:27:00Z</cp:lastPrinted>
  <dcterms:modified xsi:type="dcterms:W3CDTF">2026-09-24T09:20:09Z</dcterms:modified>
  <dc:title>广东省第二人民医院阳山医院（阳山县人民医院）医疗设备采购项目技术论证及市场调研公告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EAED886BC1D548BFA7B3F3C795908B26</vt:lpwstr>
  </property>
  <property fmtid="{D5CDD505-2E9C-101B-9397-08002B2CF9AE}" pid="4" name="KSOTemplateDocerSaveRecord">
    <vt:lpwstr>eyJoZGlkIjoiNjYzYmMyYjZmNzkyMmNmZDEzMDJlNjVjZjE1OTBmNDAiLCJ1c2VySWQiOiIxNDAyNzk0NzQ3In0=</vt:lpwstr>
  </property>
</Properties>
</file>