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3FC67">
      <w:pPr>
        <w:jc w:val="center"/>
        <w:rPr>
          <w:color w:val="auto"/>
        </w:rPr>
      </w:pPr>
      <w:r>
        <w:rPr>
          <w:rFonts w:hint="eastAsia" w:ascii="黑体" w:hAnsi="黑体" w:eastAsia="黑体"/>
          <w:b/>
          <w:color w:val="auto"/>
          <w:sz w:val="36"/>
        </w:rPr>
        <w:t>阳山县人民医院心电诊断中心系统采购项目</w:t>
      </w:r>
    </w:p>
    <w:p w14:paraId="727B2082">
      <w:pPr>
        <w:jc w:val="center"/>
        <w:rPr>
          <w:color w:val="auto"/>
        </w:rPr>
      </w:pPr>
      <w:bookmarkStart w:id="0" w:name="_GoBack"/>
      <w:r>
        <w:rPr>
          <w:rFonts w:hint="eastAsia" w:ascii="黑体" w:hAnsi="黑体" w:eastAsia="黑体"/>
          <w:b/>
          <w:color w:val="auto"/>
          <w:sz w:val="28"/>
        </w:rPr>
        <w:t>技术参数要求</w:t>
      </w:r>
    </w:p>
    <w:bookmarkEnd w:id="0"/>
    <w:p w14:paraId="7CAA695A">
      <w:pPr>
        <w:rPr>
          <w:color w:val="auto"/>
        </w:rPr>
      </w:pPr>
    </w:p>
    <w:p w14:paraId="00F04BDD">
      <w:pPr>
        <w:pStyle w:val="4"/>
        <w:bidi w:val="0"/>
        <w:ind w:firstLine="843" w:firstLineChars="300"/>
        <w:rPr>
          <w:rFonts w:hint="eastAsia" w:ascii="黑体" w:hAnsi="黑体" w:eastAsia="黑体" w:cs="黑体"/>
          <w:color w:val="auto"/>
        </w:rPr>
      </w:pPr>
      <w:r>
        <w:rPr>
          <w:rFonts w:hint="eastAsia" w:ascii="黑体" w:hAnsi="黑体" w:eastAsia="黑体" w:cs="黑体"/>
          <w:color w:val="auto"/>
        </w:rPr>
        <w:t>一、数据与存储管理</w:t>
      </w:r>
    </w:p>
    <w:p w14:paraId="48B0557A">
      <w:pPr>
        <w:ind w:firstLine="0"/>
        <w:rPr>
          <w:rFonts w:hint="eastAsia" w:ascii="宋体" w:hAnsi="宋体" w:eastAsia="宋体"/>
          <w:color w:val="auto"/>
          <w:sz w:val="21"/>
          <w:lang w:val="en-US" w:eastAsia="zh-CN"/>
        </w:rPr>
      </w:pPr>
      <w:r>
        <w:rPr>
          <w:rFonts w:hint="eastAsia" w:ascii="宋体" w:hAnsi="宋体" w:eastAsia="宋体"/>
          <w:color w:val="auto"/>
          <w:sz w:val="21"/>
        </w:rPr>
        <w:t>（1）▲系统软件采用B/S架构化架构设计，所有医生客户端无需安装应用软件，无终端数量限制，医生可通过浏览器直接登录系统，进行预约分诊、检查管理、静息心电分析诊断、动态心电分析诊断、报告打印，以及查看统计报表。</w:t>
      </w:r>
      <w:commentRangeStart w:id="0"/>
      <w:r>
        <w:rPr>
          <w:rFonts w:hint="eastAsia" w:ascii="宋体" w:hAnsi="宋体" w:eastAsia="宋体"/>
          <w:color w:val="auto"/>
          <w:sz w:val="21"/>
        </w:rPr>
        <w:t>（</w:t>
      </w:r>
      <w:r>
        <w:rPr>
          <w:rFonts w:hint="eastAsia"/>
          <w:color w:val="auto"/>
        </w:rPr>
        <w:t>响应文件提供系统浏览器访问截图证明，包括：登录页面、预约分诊、检查管理、静息心电分析诊断、动态心电分析诊断等核心功能页面截图，截图须清晰显示系统访问地址及核心功能界面并加盖响应人公章，否则视为负偏离</w:t>
      </w:r>
      <w:r>
        <w:rPr>
          <w:rFonts w:hint="eastAsia" w:ascii="宋体" w:hAnsi="宋体" w:eastAsia="宋体"/>
          <w:color w:val="auto"/>
          <w:sz w:val="21"/>
        </w:rPr>
        <w:t>)。</w:t>
      </w:r>
      <w:commentRangeEnd w:id="0"/>
      <w:r>
        <w:rPr>
          <w:color w:val="auto"/>
        </w:rPr>
        <w:commentReference w:id="0"/>
      </w:r>
      <w:r>
        <w:rPr>
          <w:color w:val="auto"/>
        </w:rPr>
        <w:commentReference w:id="1"/>
      </w:r>
    </w:p>
    <w:p w14:paraId="64BF6520">
      <w:pPr>
        <w:pStyle w:val="17"/>
        <w:rPr>
          <w:color w:val="auto"/>
        </w:rPr>
      </w:pPr>
      <w:r>
        <w:rPr>
          <w:rFonts w:hint="eastAsia" w:ascii="宋体" w:hAnsi="宋体" w:eastAsia="宋体"/>
          <w:color w:val="auto"/>
          <w:sz w:val="21"/>
        </w:rPr>
        <w:t>（2）▲全面支持国产硬件、国产操作系统、国产数据库，满足国家信创要求，全面实现国产化替代。</w:t>
      </w:r>
      <w:r>
        <w:rPr>
          <w:rFonts w:hint="eastAsia"/>
          <w:color w:val="auto"/>
          <w:lang w:eastAsia="zh-CN"/>
        </w:rPr>
        <w:t>响应文件需提供以下材料并加盖响应人公章，否则视为负偏离：①国产操作系统及国产数据库的兼容测试报告或认证证书；②投标人出具的承诺函，承诺所投产品支持主流国产操作系统（如麒麟、统信UOS等）及国产数据库（如达梦、人大金仓等），并在合同签订后配合采购人完成兼容性测试验证</w:t>
      </w:r>
      <w:commentRangeStart w:id="2"/>
      <w:r>
        <w:rPr>
          <w:rFonts w:hint="eastAsia" w:ascii="宋体" w:hAnsi="宋体" w:eastAsia="宋体"/>
          <w:color w:val="auto"/>
          <w:sz w:val="21"/>
        </w:rPr>
        <w:t>。</w:t>
      </w:r>
      <w:commentRangeEnd w:id="2"/>
      <w:r>
        <w:rPr>
          <w:color w:val="auto"/>
        </w:rPr>
        <w:commentReference w:id="2"/>
      </w:r>
      <w:r>
        <w:rPr>
          <w:color w:val="auto"/>
        </w:rPr>
        <w:commentReference w:id="3"/>
      </w:r>
    </w:p>
    <w:p w14:paraId="042670A5">
      <w:pPr>
        <w:pageBreakBefore w:val="0"/>
        <w:numPr>
          <w:ilvl w:val="0"/>
          <w:numId w:val="0"/>
        </w:numPr>
        <w:kinsoku/>
        <w:wordWrap/>
        <w:overflowPunct/>
        <w:topLinePunct w:val="0"/>
        <w:autoSpaceDE/>
        <w:autoSpaceDN/>
        <w:bidi w:val="0"/>
        <w:adjustRightInd w:val="0"/>
        <w:snapToGrid w:val="0"/>
        <w:spacing w:line="360" w:lineRule="auto"/>
        <w:rPr>
          <w:rFonts w:hint="eastAsia" w:ascii="宋体" w:hAnsi="宋体" w:eastAsia="宋体"/>
          <w:color w:val="auto"/>
          <w:sz w:val="21"/>
          <w:lang w:val="en-US" w:eastAsia="zh-CN"/>
        </w:rPr>
      </w:pPr>
      <w:r>
        <w:rPr>
          <w:rFonts w:hint="eastAsia" w:ascii="宋体" w:hAnsi="宋体" w:eastAsia="宋体"/>
          <w:color w:val="auto"/>
          <w:sz w:val="21"/>
        </w:rPr>
        <w:t>（3）</w:t>
      </w:r>
      <w:r>
        <w:rPr>
          <w:rFonts w:hint="eastAsia" w:ascii="宋体" w:hAnsi="宋体" w:eastAsia="宋体"/>
          <w:color w:val="auto"/>
          <w:sz w:val="21"/>
        </w:rPr>
        <w:t>▲系统安全应符合《信息安全技术网络安全等级保护基本要求》（GB/T22239）第三级安全保护要求。响应文件提供以下材料之一并加盖响应人公章，否则视为负偏离：①所投产品同类系统已通过的三级等保测评报告；②投标人出具的承诺函，承诺所投产品按照等保三级标准进行设计开发，并在合同签订后配合采购人完成本项目系统的等保三级测评及整改工作。</w:t>
      </w:r>
    </w:p>
    <w:p w14:paraId="78074F7A">
      <w:pPr>
        <w:ind w:firstLine="0"/>
        <w:rPr>
          <w:color w:val="auto"/>
        </w:rPr>
      </w:pPr>
      <w:r>
        <w:rPr>
          <w:rFonts w:hint="eastAsia" w:ascii="宋体" w:hAnsi="宋体" w:eastAsia="宋体"/>
          <w:color w:val="auto"/>
          <w:sz w:val="21"/>
        </w:rPr>
        <w:t>（4）系统具备密码强度控制机制，支持启用强密码验证及强制密码到期修改期限，支持首次登录强制用户修改初始密码。</w:t>
      </w:r>
    </w:p>
    <w:p w14:paraId="5919DE0B">
      <w:pPr>
        <w:ind w:firstLine="0"/>
        <w:rPr>
          <w:color w:val="auto"/>
        </w:rPr>
      </w:pPr>
      <w:r>
        <w:rPr>
          <w:rFonts w:hint="eastAsia" w:ascii="宋体" w:hAnsi="宋体" w:eastAsia="宋体"/>
          <w:color w:val="auto"/>
          <w:sz w:val="21"/>
        </w:rPr>
        <w:t>（5）系统采用一体化平台设计，须全面涵盖心电电生理检查业务的全流程，包含但不限于预约登记、心电检查、动态心电/血压检查、电生理检查、病历管理、分析诊断、报告打印、统计分析、系统管理、BI大屏展示等功能。</w:t>
      </w:r>
    </w:p>
    <w:p w14:paraId="7E1D0155">
      <w:pPr>
        <w:ind w:firstLine="0"/>
        <w:rPr>
          <w:color w:val="auto"/>
        </w:rPr>
      </w:pPr>
      <w:r>
        <w:rPr>
          <w:rFonts w:hint="eastAsia" w:ascii="宋体" w:hAnsi="宋体" w:eastAsia="宋体"/>
          <w:color w:val="auto"/>
          <w:sz w:val="21"/>
        </w:rPr>
        <w:t>（6）系统支持接收具有DICOM、XML、HL7、FTP等标准传输协议的心电图机、动态心电图、运动平板、电生理检查设备的数据，对数据进行处理和存储，并可与医院信息系统（HIS）、临床服务系统、医疗管理系统、公共卫生系统整合，通过网络发布报告。</w:t>
      </w:r>
    </w:p>
    <w:p w14:paraId="248D32CB">
      <w:pPr>
        <w:ind w:firstLine="0"/>
        <w:rPr>
          <w:color w:val="auto"/>
        </w:rPr>
      </w:pPr>
      <w:r>
        <w:rPr>
          <w:rFonts w:hint="eastAsia" w:ascii="宋体" w:hAnsi="宋体" w:eastAsia="宋体"/>
          <w:color w:val="auto"/>
          <w:sz w:val="21"/>
        </w:rPr>
        <w:t>（7）建立大容量的数据存储系统，对传输来的心电数据进行分类存储和管理，建立以患者身份证号等为索引的心电数据库，实现同一患者的历史多次检查同时进行对比。</w:t>
      </w:r>
    </w:p>
    <w:p w14:paraId="51F69E2E">
      <w:pPr>
        <w:ind w:firstLine="0"/>
        <w:rPr>
          <w:color w:val="auto"/>
        </w:rPr>
      </w:pPr>
      <w:r>
        <w:rPr>
          <w:rFonts w:hint="eastAsia" w:ascii="宋体" w:hAnsi="宋体" w:eastAsia="宋体"/>
          <w:color w:val="auto"/>
          <w:sz w:val="21"/>
        </w:rPr>
        <w:t>（8）应满足将同一患者的常规心电、动态心电、动态血压统一存储到同一患者唯一标识下的数据库，实现同屏对比。</w:t>
      </w:r>
    </w:p>
    <w:p w14:paraId="6D1BA6F1">
      <w:pPr>
        <w:ind w:firstLine="0"/>
        <w:rPr>
          <w:color w:val="auto"/>
        </w:rPr>
      </w:pPr>
      <w:r>
        <w:rPr>
          <w:rFonts w:hint="eastAsia" w:ascii="宋体" w:hAnsi="宋体" w:eastAsia="宋体"/>
          <w:color w:val="auto"/>
          <w:sz w:val="21"/>
        </w:rPr>
        <w:t>（9）具备心电数据权限配置功能，可为不同用户设置差异化的数据访问范围，确保患者心电信息的隐私安全，包括按科室、数据来源、检查分类及特殊病人等维度。</w:t>
      </w:r>
    </w:p>
    <w:p w14:paraId="75021969">
      <w:pPr>
        <w:ind w:firstLine="0"/>
        <w:rPr>
          <w:color w:val="auto"/>
        </w:rPr>
      </w:pPr>
      <w:r>
        <w:rPr>
          <w:rFonts w:hint="eastAsia" w:ascii="宋体" w:hAnsi="宋体" w:eastAsia="宋体"/>
          <w:color w:val="auto"/>
          <w:sz w:val="21"/>
        </w:rPr>
        <w:t>（10）系统应建立不同用户的权限分级，根据授权进行数据访问和修改；建立变更管理流程，系统升级/配置变更需审批并测试。</w:t>
      </w:r>
    </w:p>
    <w:p w14:paraId="4D9C9EC3">
      <w:pPr>
        <w:pStyle w:val="4"/>
        <w:bidi w:val="0"/>
        <w:rPr>
          <w:rFonts w:hint="eastAsia" w:ascii="黑体" w:hAnsi="黑体" w:eastAsia="黑体" w:cs="黑体"/>
          <w:color w:val="auto"/>
        </w:rPr>
      </w:pPr>
      <w:r>
        <w:rPr>
          <w:rFonts w:hint="eastAsia" w:ascii="黑体" w:hAnsi="黑体" w:eastAsia="黑体" w:cs="黑体"/>
          <w:color w:val="auto"/>
        </w:rPr>
        <w:t>二、诊断管理</w:t>
      </w:r>
    </w:p>
    <w:p w14:paraId="403DAE24">
      <w:pPr>
        <w:ind w:firstLine="0"/>
        <w:rPr>
          <w:color w:val="auto"/>
        </w:rPr>
      </w:pPr>
      <w:r>
        <w:rPr>
          <w:rFonts w:hint="eastAsia" w:ascii="宋体" w:hAnsi="宋体" w:eastAsia="宋体"/>
          <w:color w:val="auto"/>
          <w:sz w:val="21"/>
        </w:rPr>
        <w:t>（1）支持将静息心电、动态心电、动态血压、电生理检查等多种不同类型的检查项目融合到一套系统中分析诊断。</w:t>
      </w:r>
    </w:p>
    <w:p w14:paraId="074887E2">
      <w:pPr>
        <w:ind w:firstLine="0"/>
        <w:rPr>
          <w:rFonts w:hint="eastAsia" w:ascii="宋体" w:hAnsi="宋体" w:eastAsia="宋体"/>
          <w:color w:val="auto"/>
          <w:sz w:val="21"/>
        </w:rPr>
      </w:pPr>
      <w:r>
        <w:rPr>
          <w:rFonts w:hint="eastAsia" w:ascii="宋体" w:hAnsi="宋体" w:eastAsia="宋体"/>
          <w:color w:val="auto"/>
          <w:sz w:val="21"/>
        </w:rPr>
        <w:t>（2）具备AI人工智能引擎模块，具备AI智能诊断功能，辅助医生快速分析诊断；</w:t>
      </w:r>
    </w:p>
    <w:p w14:paraId="7207ED5B">
      <w:pPr>
        <w:ind w:firstLine="0"/>
        <w:rPr>
          <w:color w:val="auto"/>
        </w:rPr>
      </w:pPr>
      <w:r>
        <w:rPr>
          <w:rFonts w:hint="eastAsia" w:ascii="宋体" w:hAnsi="宋体" w:eastAsia="宋体"/>
          <w:color w:val="auto"/>
          <w:sz w:val="21"/>
        </w:rPr>
        <w:t>（3）列表支持急诊、普通、不同报告状态等多种颜色标识及病历到达提示功能。</w:t>
      </w:r>
    </w:p>
    <w:p w14:paraId="1FDB7E39">
      <w:pPr>
        <w:ind w:firstLine="0"/>
        <w:rPr>
          <w:color w:val="auto"/>
        </w:rPr>
      </w:pPr>
      <w:r>
        <w:rPr>
          <w:rFonts w:hint="eastAsia" w:ascii="宋体" w:hAnsi="宋体" w:eastAsia="宋体"/>
          <w:color w:val="auto"/>
          <w:sz w:val="21"/>
        </w:rPr>
        <w:t>（4）具备新检查病历到达提醒、会诊病历到达提醒及会诊病历返回提醒功能，并支持设置提醒开关、提醒时间及提醒方式。</w:t>
      </w:r>
    </w:p>
    <w:p w14:paraId="2269EE34">
      <w:pPr>
        <w:ind w:firstLine="0"/>
        <w:rPr>
          <w:color w:val="auto"/>
        </w:rPr>
      </w:pPr>
      <w:r>
        <w:rPr>
          <w:rFonts w:hint="eastAsia" w:ascii="宋体" w:hAnsi="宋体" w:eastAsia="宋体"/>
          <w:color w:val="auto"/>
          <w:sz w:val="21"/>
        </w:rPr>
        <w:t>（5）提供测量分析工具，包括但不限于：电子测量尺、平行尺、波形微调、波形定标、多种波形显示方式、波形放大等。</w:t>
      </w:r>
    </w:p>
    <w:p w14:paraId="7A69455A">
      <w:pPr>
        <w:ind w:firstLine="0"/>
        <w:rPr>
          <w:color w:val="auto"/>
        </w:rPr>
      </w:pPr>
      <w:r>
        <w:rPr>
          <w:rFonts w:hint="eastAsia" w:ascii="宋体" w:hAnsi="宋体" w:eastAsia="宋体"/>
          <w:color w:val="auto"/>
          <w:sz w:val="21"/>
        </w:rPr>
        <w:t>（6）具备波形时间差与幅值差精确测量功能，支持横向测量时间差并折算心率值、纵向测量幅值差。</w:t>
      </w:r>
    </w:p>
    <w:p w14:paraId="46C0B22D">
      <w:pPr>
        <w:ind w:firstLine="0"/>
        <w:rPr>
          <w:color w:val="auto"/>
        </w:rPr>
      </w:pPr>
      <w:r>
        <w:rPr>
          <w:rFonts w:hint="eastAsia" w:ascii="宋体" w:hAnsi="宋体" w:eastAsia="宋体"/>
          <w:color w:val="auto"/>
          <w:sz w:val="21"/>
        </w:rPr>
        <w:t>（7）具备复合波分析辅助功能，可同屏显示12导联波形及复合波辅助参考线，帮助诊断医生快速判断分析值准确性。</w:t>
      </w:r>
      <w:r>
        <w:rPr>
          <w:rFonts w:hint="eastAsia"/>
          <w:color w:val="auto"/>
          <w:sz w:val="21"/>
          <w:lang w:val="en-US" w:eastAsia="zh-CN"/>
        </w:rPr>
        <w:t>具</w:t>
      </w:r>
      <w:r>
        <w:rPr>
          <w:rFonts w:hint="eastAsia" w:ascii="宋体" w:hAnsi="宋体" w:eastAsia="宋体"/>
          <w:color w:val="auto"/>
          <w:sz w:val="21"/>
        </w:rPr>
        <w:t>备心拍放大分析功能：支持任意心搏单击放大分析，可对P、Q、T测量点进行手动微调；</w:t>
      </w:r>
      <w:r>
        <w:rPr>
          <w:rFonts w:hint="default" w:ascii="宋体" w:hAnsi="宋体" w:eastAsia="宋体"/>
          <w:color w:val="auto"/>
          <w:sz w:val="21"/>
        </w:rPr>
        <w:t>支持QRS波群多维度自动测量分析（包括但不限于振幅、时限、面积等核心参数）。</w:t>
      </w:r>
      <w:r>
        <w:rPr>
          <w:rFonts w:hint="eastAsia" w:ascii="宋体" w:hAnsi="宋体" w:eastAsia="宋体"/>
          <w:color w:val="auto"/>
          <w:sz w:val="21"/>
        </w:rPr>
        <w:t>同屏对比功能：患者历史检查数据多次同屏对比。</w:t>
      </w:r>
    </w:p>
    <w:p w14:paraId="09152ABC">
      <w:pPr>
        <w:ind w:firstLine="0"/>
        <w:rPr>
          <w:color w:val="auto"/>
        </w:rPr>
      </w:pPr>
      <w:r>
        <w:rPr>
          <w:rFonts w:hint="eastAsia" w:ascii="宋体" w:hAnsi="宋体" w:eastAsia="宋体"/>
          <w:color w:val="auto"/>
          <w:sz w:val="21"/>
        </w:rPr>
        <w:t>（8）具备导联纠错功能，可以通过软件直接修正错误导联。具备房颤（AF）分析功能，医生可在分析诊断界面手动开启或关闭房颤分析。</w:t>
      </w:r>
    </w:p>
    <w:p w14:paraId="2EF9A329">
      <w:pPr>
        <w:ind w:firstLine="0"/>
        <w:rPr>
          <w:rFonts w:hint="eastAsia" w:eastAsia="宋体"/>
          <w:color w:val="auto"/>
          <w:lang w:eastAsia="zh-CN"/>
        </w:rPr>
      </w:pPr>
      <w:r>
        <w:rPr>
          <w:rFonts w:hint="eastAsia" w:ascii="宋体" w:hAnsi="宋体" w:eastAsia="宋体"/>
          <w:color w:val="auto"/>
          <w:sz w:val="21"/>
        </w:rPr>
        <w:t>（9）</w:t>
      </w:r>
      <w:r>
        <w:rPr>
          <w:rFonts w:hint="eastAsia" w:ascii="宋体" w:hAnsi="宋体" w:eastAsia="宋体"/>
          <w:color w:val="auto"/>
          <w:sz w:val="21"/>
        </w:rPr>
        <w:t>具备详细参数矩阵，</w:t>
      </w:r>
      <w:r>
        <w:rPr>
          <w:rFonts w:hint="default" w:ascii="宋体" w:hAnsi="宋体" w:eastAsia="宋体"/>
          <w:color w:val="auto"/>
          <w:sz w:val="21"/>
        </w:rPr>
        <w:t>常规心电及衍生分析测量参数丰富，能够满足临床科研及诊断需求</w:t>
      </w:r>
      <w:r>
        <w:rPr>
          <w:rFonts w:hint="eastAsia"/>
          <w:color w:val="auto"/>
          <w:sz w:val="21"/>
          <w:lang w:eastAsia="zh-CN"/>
        </w:rPr>
        <w:t>；</w:t>
      </w:r>
    </w:p>
    <w:p w14:paraId="4C0B7737">
      <w:pPr>
        <w:ind w:firstLine="0"/>
        <w:rPr>
          <w:color w:val="auto"/>
        </w:rPr>
      </w:pPr>
      <w:r>
        <w:rPr>
          <w:rFonts w:hint="eastAsia" w:ascii="宋体" w:hAnsi="宋体" w:eastAsia="宋体"/>
          <w:color w:val="auto"/>
          <w:sz w:val="21"/>
        </w:rPr>
        <w:t>（10）支持转换梯形图、频谱心电、高频心电、心向量、心率变异、心室晚电位等检查分析，并编写、打印对应报告。软件须兼容心电工作站的多种分析模块（包括但不限于常规心电图、心向量、心室晚电位、心率变异、频谱心电、高频心电等），支持各分析模块数据统一汇聚与诊断报告集中管理。</w:t>
      </w:r>
    </w:p>
    <w:p w14:paraId="59B89770">
      <w:pPr>
        <w:ind w:firstLine="0"/>
        <w:rPr>
          <w:color w:val="auto"/>
        </w:rPr>
      </w:pPr>
      <w:r>
        <w:rPr>
          <w:rFonts w:hint="eastAsia" w:ascii="宋体" w:hAnsi="宋体" w:eastAsia="宋体"/>
          <w:color w:val="auto"/>
          <w:sz w:val="21"/>
        </w:rPr>
        <w:t>（11）具备自动标识阴阳性功能，系统可预设阴阳性标识关键词，在医生诊断心电图保存或审核时，系统自动进行阳性或阴性标识。</w:t>
      </w:r>
    </w:p>
    <w:p w14:paraId="4EE2A566">
      <w:pPr>
        <w:ind w:firstLine="0"/>
        <w:rPr>
          <w:color w:val="auto"/>
        </w:rPr>
      </w:pPr>
      <w:r>
        <w:rPr>
          <w:rFonts w:hint="eastAsia" w:ascii="宋体" w:hAnsi="宋体" w:eastAsia="宋体"/>
          <w:color w:val="auto"/>
          <w:sz w:val="21"/>
        </w:rPr>
        <w:t>（12）具备结合临床诊断信息综合分析功能，可结合患者诊断关键词（如发热等）及患者年龄、性别进行综合分析，辅助提升医生诊断准确性。</w:t>
      </w:r>
    </w:p>
    <w:p w14:paraId="3CDE1AF4">
      <w:pPr>
        <w:ind w:firstLine="0"/>
        <w:rPr>
          <w:color w:val="auto"/>
        </w:rPr>
      </w:pPr>
      <w:r>
        <w:rPr>
          <w:rFonts w:hint="eastAsia" w:ascii="宋体" w:hAnsi="宋体" w:eastAsia="宋体"/>
          <w:color w:val="auto"/>
          <w:sz w:val="21"/>
        </w:rPr>
        <w:t>（13）提供丰富的报告诊断知识库/模板库，支持快捷录入，减少键盘输入。</w:t>
      </w:r>
    </w:p>
    <w:p w14:paraId="4E7C9066">
      <w:pPr>
        <w:ind w:firstLine="0"/>
        <w:rPr>
          <w:color w:val="auto"/>
        </w:rPr>
      </w:pPr>
      <w:r>
        <w:rPr>
          <w:rFonts w:hint="eastAsia" w:ascii="宋体" w:hAnsi="宋体" w:eastAsia="宋体"/>
          <w:color w:val="auto"/>
          <w:sz w:val="21"/>
        </w:rPr>
        <w:t>（14）具备报告修改记录功能，可详细查看每一份病历的操作日志及报告修改记录。</w:t>
      </w:r>
    </w:p>
    <w:p w14:paraId="4A6A79CF">
      <w:pPr>
        <w:ind w:firstLine="0"/>
        <w:rPr>
          <w:color w:val="auto"/>
        </w:rPr>
      </w:pPr>
      <w:r>
        <w:rPr>
          <w:rFonts w:hint="eastAsia" w:ascii="宋体" w:hAnsi="宋体" w:eastAsia="宋体"/>
          <w:color w:val="auto"/>
          <w:sz w:val="21"/>
        </w:rPr>
        <w:t>（15）具备未报告、未审核病例提醒功能，可自定义设置提醒时间，保障病例诊断的时效性。</w:t>
      </w:r>
    </w:p>
    <w:p w14:paraId="37B16ECF">
      <w:pPr>
        <w:ind w:firstLine="0"/>
        <w:rPr>
          <w:color w:val="auto"/>
        </w:rPr>
      </w:pPr>
      <w:r>
        <w:rPr>
          <w:rFonts w:hint="eastAsia" w:ascii="宋体" w:hAnsi="宋体" w:eastAsia="宋体"/>
          <w:color w:val="auto"/>
          <w:sz w:val="21"/>
        </w:rPr>
        <w:t>（16）具备安全协作分享功能，可在进行心电图诊断分析时将</w:t>
      </w:r>
      <w:r>
        <w:rPr>
          <w:rFonts w:hint="default" w:ascii="宋体" w:hAnsi="宋体" w:eastAsia="宋体"/>
          <w:color w:val="auto"/>
          <w:sz w:val="21"/>
        </w:rPr>
        <w:t>经脱敏处理的病历原始心电波形通过院内安全协作平台或符合医疗数据安全标准的专用通道进行分享，并支持在经授权的移动终端查看心电原始波形，进行走</w:t>
      </w:r>
      <w:r>
        <w:rPr>
          <w:color w:val="auto"/>
        </w:rPr>
        <w:commentReference w:id="4"/>
      </w:r>
      <w:r>
        <w:rPr>
          <w:rFonts w:hint="default" w:ascii="宋体" w:hAnsi="宋体" w:eastAsia="宋体"/>
          <w:color w:val="auto"/>
          <w:sz w:val="21"/>
        </w:rPr>
        <w:t>纸速度、灵敏度、显示模式调整及查看心电报告。</w:t>
      </w:r>
      <w:r>
        <w:rPr>
          <w:rFonts w:hint="eastAsia" w:ascii="宋体" w:hAnsi="宋体" w:eastAsia="宋体"/>
          <w:color w:val="auto"/>
          <w:sz w:val="21"/>
        </w:rPr>
        <w:commentReference w:id="5"/>
      </w:r>
    </w:p>
    <w:p w14:paraId="0FC5B289">
      <w:pPr>
        <w:ind w:firstLine="0"/>
        <w:rPr>
          <w:color w:val="auto"/>
        </w:rPr>
      </w:pPr>
      <w:r>
        <w:rPr>
          <w:rFonts w:hint="eastAsia" w:ascii="宋体" w:hAnsi="宋体" w:eastAsia="宋体"/>
          <w:color w:val="auto"/>
          <w:sz w:val="21"/>
        </w:rPr>
        <w:t>（17）具有空间心向量环动态回放功能，可播放、暂停、停止、速度倍数调整、回放模式选择。</w:t>
      </w:r>
    </w:p>
    <w:p w14:paraId="6EB11EE0">
      <w:pPr>
        <w:ind w:firstLine="0"/>
        <w:rPr>
          <w:color w:val="auto"/>
        </w:rPr>
      </w:pPr>
      <w:r>
        <w:rPr>
          <w:rFonts w:hint="eastAsia" w:ascii="宋体" w:hAnsi="宋体" w:eastAsia="宋体"/>
          <w:color w:val="auto"/>
          <w:sz w:val="21"/>
        </w:rPr>
        <w:t>（18）具有心电测量值异常报警显示功能，可设置不同测量值的不合理值范围，并在界面以突出方式显示并弹窗预警。</w:t>
      </w:r>
    </w:p>
    <w:p w14:paraId="27451651">
      <w:pPr>
        <w:ind w:firstLine="0"/>
        <w:rPr>
          <w:color w:val="auto"/>
        </w:rPr>
      </w:pPr>
      <w:r>
        <w:rPr>
          <w:rFonts w:hint="eastAsia" w:ascii="宋体" w:hAnsi="宋体" w:eastAsia="宋体"/>
          <w:color w:val="auto"/>
          <w:sz w:val="21"/>
        </w:rPr>
        <w:t>（19）具有心电报告敏感词预警功能，可为不同检查项目、不同性别设置不同敏感词，当符合条件敏感词出现时，系统自动弹窗预警。</w:t>
      </w:r>
    </w:p>
    <w:p w14:paraId="2A56026D">
      <w:pPr>
        <w:ind w:firstLine="0"/>
        <w:rPr>
          <w:color w:val="auto"/>
        </w:rPr>
      </w:pPr>
      <w:r>
        <w:rPr>
          <w:rFonts w:hint="eastAsia" w:ascii="宋体" w:hAnsi="宋体" w:eastAsia="宋体"/>
          <w:color w:val="auto"/>
          <w:sz w:val="21"/>
        </w:rPr>
        <w:t>（20）具备病历随访功能，为需随访的患者建立随访计划，支持随访时间设置，随访到期后可自动提醒；支持单独的随访病历显示列表，快速查看随访病历结论。</w:t>
      </w:r>
    </w:p>
    <w:p w14:paraId="394A1D7F">
      <w:pPr>
        <w:ind w:firstLine="0"/>
        <w:rPr>
          <w:color w:val="auto"/>
        </w:rPr>
      </w:pPr>
      <w:r>
        <w:rPr>
          <w:rFonts w:hint="eastAsia" w:ascii="宋体" w:hAnsi="宋体" w:eastAsia="宋体"/>
          <w:color w:val="auto"/>
          <w:sz w:val="21"/>
        </w:rPr>
        <w:t>（21）具备移动诊断功能，移动会诊支持手机端H5、移动应用等多种方式实现原始心电图数据查看，支持Android和iOS系统等各种品牌终端，满足出差、居家等不同场景下的远程会诊需求；支持患者列表显示、心电波形显示模式调整、波形放大、走纸增益调整、电子标尺测量等心电图分析功能。</w:t>
      </w:r>
    </w:p>
    <w:p w14:paraId="7AF276E0">
      <w:pPr>
        <w:pStyle w:val="4"/>
        <w:bidi w:val="0"/>
        <w:rPr>
          <w:rFonts w:hint="eastAsia" w:ascii="黑体" w:hAnsi="黑体" w:eastAsia="黑体" w:cs="黑体"/>
          <w:color w:val="auto"/>
        </w:rPr>
      </w:pPr>
      <w:r>
        <w:rPr>
          <w:rFonts w:hint="eastAsia" w:ascii="黑体" w:hAnsi="黑体" w:eastAsia="黑体" w:cs="黑体"/>
          <w:color w:val="auto"/>
        </w:rPr>
        <w:t>三、危急值闭环管理</w:t>
      </w:r>
    </w:p>
    <w:p w14:paraId="0E137583">
      <w:pPr>
        <w:ind w:firstLine="0"/>
        <w:rPr>
          <w:color w:val="auto"/>
        </w:rPr>
      </w:pPr>
      <w:r>
        <w:rPr>
          <w:rFonts w:hint="eastAsia" w:ascii="宋体" w:hAnsi="宋体" w:eastAsia="宋体"/>
          <w:color w:val="auto"/>
          <w:sz w:val="21"/>
        </w:rPr>
        <w:t>（1）具备分级预警功能，支持后台预分析技术，根据危急值标准自动判断危急病历，并进行分级预警提醒；支持多级预警级别设置，用户可自定义设置预警级别。</w:t>
      </w:r>
    </w:p>
    <w:p w14:paraId="13A6266F">
      <w:pPr>
        <w:ind w:firstLine="0"/>
        <w:rPr>
          <w:color w:val="auto"/>
        </w:rPr>
      </w:pPr>
      <w:r>
        <w:rPr>
          <w:rFonts w:hint="eastAsia" w:ascii="宋体" w:hAnsi="宋体" w:eastAsia="宋体"/>
          <w:color w:val="auto"/>
          <w:sz w:val="21"/>
        </w:rPr>
        <w:t>（2）具备危急值闭环管理功能，系统对上传的病历进行后台预分析，根据危急值标准自动判断危急病历，并进行危急预警提醒；诊断医生复核上报危急值后，临床医生收到系统内危急值提醒；临床医生确认后，诊断医生可收到处理意见、处理人、处理时间及确认结果的提醒；系统可查看危急值上报-处理-反馈等全流程的时间轴。</w:t>
      </w:r>
    </w:p>
    <w:p w14:paraId="48287CAB">
      <w:pPr>
        <w:ind w:firstLine="0"/>
        <w:rPr>
          <w:color w:val="auto"/>
        </w:rPr>
      </w:pPr>
      <w:r>
        <w:rPr>
          <w:rFonts w:hint="eastAsia" w:ascii="宋体" w:hAnsi="宋体" w:eastAsia="宋体"/>
          <w:color w:val="auto"/>
          <w:sz w:val="21"/>
        </w:rPr>
        <w:t>（3）具备危急值病历列表功能，对所有上报危急值的病历统一列表展示，可按危急值处理状态进行查询。点击具体危急值病历，可实时显示该病历危急值项目、临床科室处理意见、处理人、处理时间。系统可和医院危急值平台、HIS系统集成，实现临床科室工作站消息及时提醒。</w:t>
      </w:r>
    </w:p>
    <w:p w14:paraId="68375F62">
      <w:pPr>
        <w:ind w:firstLine="0"/>
        <w:rPr>
          <w:color w:val="auto"/>
        </w:rPr>
      </w:pPr>
      <w:r>
        <w:rPr>
          <w:rFonts w:hint="eastAsia" w:ascii="宋体" w:hAnsi="宋体" w:eastAsia="宋体"/>
          <w:color w:val="auto"/>
          <w:sz w:val="21"/>
        </w:rPr>
        <w:t>（4）应开展危急心电事件随访，建立随访档案，在事件发生后多个时间节点对患者或紧急联系人进行随访、跟踪、监控事件进展。</w:t>
      </w:r>
    </w:p>
    <w:p w14:paraId="5B1C4036">
      <w:pPr>
        <w:pStyle w:val="4"/>
        <w:bidi w:val="0"/>
        <w:rPr>
          <w:rFonts w:hint="eastAsia" w:ascii="黑体" w:hAnsi="黑体" w:eastAsia="黑体" w:cs="黑体"/>
          <w:color w:val="auto"/>
        </w:rPr>
      </w:pPr>
      <w:r>
        <w:rPr>
          <w:rFonts w:hint="eastAsia" w:ascii="黑体" w:hAnsi="黑体" w:eastAsia="黑体" w:cs="黑体"/>
          <w:color w:val="auto"/>
        </w:rPr>
        <w:t>四、质控管理</w:t>
      </w:r>
    </w:p>
    <w:p w14:paraId="5C9B4890">
      <w:pPr>
        <w:ind w:firstLine="0"/>
        <w:rPr>
          <w:color w:val="auto"/>
        </w:rPr>
      </w:pPr>
      <w:r>
        <w:rPr>
          <w:rFonts w:hint="eastAsia" w:ascii="宋体" w:hAnsi="宋体" w:eastAsia="宋体"/>
          <w:color w:val="auto"/>
          <w:sz w:val="21"/>
        </w:rPr>
        <w:t>（1）具备完整的报告质控流程，可建立质控任务，定期对报告质量进行回顾抽查，根据病种、诊断医生、是否疑难等多个维度对报告进行质控，抽取一定比例或条数的报告分配给不同质控医生进行质控。</w:t>
      </w:r>
    </w:p>
    <w:p w14:paraId="151573CC">
      <w:pPr>
        <w:ind w:firstLine="0"/>
        <w:rPr>
          <w:color w:val="auto"/>
        </w:rPr>
      </w:pPr>
      <w:r>
        <w:rPr>
          <w:rFonts w:hint="eastAsia" w:ascii="宋体" w:hAnsi="宋体" w:eastAsia="宋体"/>
          <w:color w:val="auto"/>
          <w:sz w:val="21"/>
        </w:rPr>
        <w:t>（2）具备报告质控不合格提醒功能，可提醒报告医生本人被质控不合格的情况。</w:t>
      </w:r>
    </w:p>
    <w:p w14:paraId="3787B72D">
      <w:pPr>
        <w:ind w:firstLine="0"/>
        <w:rPr>
          <w:color w:val="auto"/>
        </w:rPr>
      </w:pPr>
      <w:r>
        <w:rPr>
          <w:rFonts w:hint="eastAsia" w:ascii="宋体" w:hAnsi="宋体" w:eastAsia="宋体"/>
          <w:color w:val="auto"/>
          <w:sz w:val="21"/>
        </w:rPr>
        <w:t>（3）具备心电质控功能，包含图像质控、报告质控、综合质控。</w:t>
      </w:r>
    </w:p>
    <w:p w14:paraId="25C26731">
      <w:pPr>
        <w:ind w:firstLine="0"/>
        <w:rPr>
          <w:color w:val="auto"/>
        </w:rPr>
      </w:pPr>
      <w:r>
        <w:rPr>
          <w:rFonts w:hint="eastAsia" w:ascii="宋体" w:hAnsi="宋体" w:eastAsia="宋体"/>
          <w:color w:val="auto"/>
          <w:sz w:val="21"/>
        </w:rPr>
        <w:t>（4）具备质控评分功能：依据完整性、规范性、时限性、正确性等维度进行质控评价，且医生可手动选择具体扣分条目，系统根据医生选择的扣分项自动计算分值并自动给予质控评级。同时，为医院质控医生提供质控细则的可视化设置功能，医院质控医生可根据质控制度自定义设置质控细则及分值。</w:t>
      </w:r>
    </w:p>
    <w:p w14:paraId="30157EDC">
      <w:pPr>
        <w:ind w:firstLine="0"/>
        <w:rPr>
          <w:color w:val="auto"/>
        </w:rPr>
      </w:pPr>
      <w:r>
        <w:rPr>
          <w:rFonts w:hint="eastAsia" w:ascii="宋体" w:hAnsi="宋体" w:eastAsia="宋体"/>
          <w:color w:val="auto"/>
          <w:sz w:val="21"/>
        </w:rPr>
        <w:t>（5）支持对所有质控报告进行统一列表管理，并显示质控不合格原因。</w:t>
      </w:r>
    </w:p>
    <w:p w14:paraId="3ED41352">
      <w:pPr>
        <w:pStyle w:val="4"/>
        <w:bidi w:val="0"/>
        <w:rPr>
          <w:rFonts w:hint="eastAsia" w:ascii="黑体" w:hAnsi="黑体" w:eastAsia="黑体" w:cs="黑体"/>
          <w:color w:val="auto"/>
        </w:rPr>
      </w:pPr>
      <w:r>
        <w:rPr>
          <w:rFonts w:hint="eastAsia" w:ascii="黑体" w:hAnsi="黑体" w:eastAsia="黑体" w:cs="黑体"/>
          <w:color w:val="auto"/>
        </w:rPr>
        <w:t>五、数据统计与展示</w:t>
      </w:r>
    </w:p>
    <w:p w14:paraId="53F021EF">
      <w:pPr>
        <w:ind w:firstLine="0"/>
        <w:rPr>
          <w:color w:val="auto"/>
        </w:rPr>
      </w:pPr>
      <w:r>
        <w:rPr>
          <w:rFonts w:hint="eastAsia" w:ascii="宋体" w:hAnsi="宋体" w:eastAsia="宋体"/>
          <w:color w:val="auto"/>
          <w:sz w:val="21"/>
        </w:rPr>
        <w:t>（1）无需安装客户端软件，任意电脑中浏览器直接登录访问。</w:t>
      </w:r>
    </w:p>
    <w:p w14:paraId="587B0652">
      <w:pPr>
        <w:ind w:firstLine="0"/>
        <w:rPr>
          <w:color w:val="auto"/>
        </w:rPr>
      </w:pPr>
      <w:r>
        <w:rPr>
          <w:rFonts w:hint="eastAsia" w:ascii="宋体" w:hAnsi="宋体" w:eastAsia="宋体"/>
          <w:color w:val="auto"/>
          <w:sz w:val="21"/>
        </w:rPr>
        <w:t>（2）提供可自由定制的数据统计模块，字段信息均可作为统计条件，并组合使用；可根据需要开展工作量、科研、教学统计。</w:t>
      </w:r>
    </w:p>
    <w:p w14:paraId="4DF87993">
      <w:pPr>
        <w:ind w:firstLine="0"/>
        <w:rPr>
          <w:color w:val="auto"/>
        </w:rPr>
      </w:pPr>
      <w:r>
        <w:rPr>
          <w:rFonts w:hint="eastAsia" w:ascii="宋体" w:hAnsi="宋体" w:eastAsia="宋体"/>
          <w:color w:val="auto"/>
          <w:sz w:val="21"/>
        </w:rPr>
        <w:t>（3）提供统计模板的可视化配置功能，可在系统设置里对统计模板进行增加、修改、删除和查询操作；可自由设置按年、按月、按日进行统计，支持柱状图、折线图、饼图、仪表盘、复合图（柱状+折线）等多种图表类型，可设置查询条件。</w:t>
      </w:r>
    </w:p>
    <w:p w14:paraId="418C1A07">
      <w:pPr>
        <w:ind w:firstLine="0"/>
        <w:rPr>
          <w:color w:val="auto"/>
        </w:rPr>
      </w:pPr>
      <w:r>
        <w:rPr>
          <w:rFonts w:hint="eastAsia" w:ascii="宋体" w:hAnsi="宋体" w:eastAsia="宋体"/>
          <w:color w:val="auto"/>
          <w:sz w:val="21"/>
        </w:rPr>
        <w:t>（4）统计结果可输出到Excel表格中，并可打印成统计报表。</w:t>
      </w:r>
    </w:p>
    <w:p w14:paraId="7C2981F3">
      <w:pPr>
        <w:ind w:firstLine="0"/>
        <w:rPr>
          <w:color w:val="auto"/>
        </w:rPr>
      </w:pPr>
      <w:r>
        <w:rPr>
          <w:rFonts w:hint="eastAsia" w:ascii="宋体" w:hAnsi="宋体" w:eastAsia="宋体"/>
          <w:color w:val="auto"/>
          <w:sz w:val="21"/>
        </w:rPr>
        <w:t>（5）具备基于大屏显示的心电数据BI展示平台，提供包括但不限于检查量趋势、工作量、检查科室/机构排名、异常类疾病排名、诊断医生排名、报告时效质控、诊断分布、诊断分级等图表及仪表盘样式，为管理人员提供有效的管理决策工具。</w:t>
      </w:r>
    </w:p>
    <w:p w14:paraId="09BB5903">
      <w:pPr>
        <w:pStyle w:val="4"/>
        <w:bidi w:val="0"/>
        <w:rPr>
          <w:rFonts w:hint="eastAsia" w:ascii="黑体" w:hAnsi="黑体" w:eastAsia="黑体" w:cs="黑体"/>
          <w:color w:val="auto"/>
        </w:rPr>
      </w:pPr>
      <w:r>
        <w:rPr>
          <w:rFonts w:hint="eastAsia" w:ascii="黑体" w:hAnsi="黑体" w:eastAsia="黑体" w:cs="黑体"/>
          <w:color w:val="auto"/>
        </w:rPr>
        <w:t>六、心电考试教学管理</w:t>
      </w:r>
    </w:p>
    <w:p w14:paraId="4403499A">
      <w:pPr>
        <w:ind w:firstLine="0"/>
        <w:rPr>
          <w:color w:val="auto"/>
        </w:rPr>
      </w:pPr>
      <w:r>
        <w:rPr>
          <w:rFonts w:hint="eastAsia" w:ascii="宋体" w:hAnsi="宋体" w:eastAsia="宋体"/>
          <w:color w:val="auto"/>
          <w:sz w:val="21"/>
        </w:rPr>
        <w:t>（1）具有考试教学管理系统，可为区域提供教学培训、考试考核、个人学习等功能，实现区域心电检查质量的全面提升。</w:t>
      </w:r>
    </w:p>
    <w:p w14:paraId="26C5E4AA">
      <w:pPr>
        <w:ind w:firstLine="0"/>
        <w:rPr>
          <w:color w:val="auto"/>
        </w:rPr>
      </w:pPr>
      <w:r>
        <w:rPr>
          <w:rFonts w:hint="eastAsia" w:ascii="宋体" w:hAnsi="宋体" w:eastAsia="宋体"/>
          <w:color w:val="auto"/>
          <w:sz w:val="21"/>
        </w:rPr>
        <w:t>（2）系统包含心电图题库管理、无图题库管理、考试管理、作业管理等功能模块；题库应包含考试题库和练习题库；考试管理包含考试列表、考试阅卷、查看成绩；作业管理包含作业列表、作业批改、查看作业情况。</w:t>
      </w:r>
    </w:p>
    <w:p w14:paraId="08A475D3">
      <w:pPr>
        <w:ind w:firstLine="0"/>
        <w:rPr>
          <w:color w:val="auto"/>
        </w:rPr>
      </w:pPr>
      <w:r>
        <w:rPr>
          <w:rFonts w:hint="eastAsia" w:ascii="宋体" w:hAnsi="宋体" w:eastAsia="宋体"/>
          <w:color w:val="auto"/>
          <w:sz w:val="21"/>
        </w:rPr>
        <w:t>（3）系统支持作业管理，在作业列表中设置作业的课程、知识点、作业名称、班级和分数，并对题型进行分数规则设置，设置内容包括题目类型、大纲要求、单体分值、题目数量，并根据单题分值和题目数量自动计算分数小计。</w:t>
      </w:r>
    </w:p>
    <w:p w14:paraId="43F5F2D5">
      <w:pPr>
        <w:pStyle w:val="4"/>
        <w:bidi w:val="0"/>
        <w:rPr>
          <w:rFonts w:hint="eastAsia" w:ascii="黑体" w:hAnsi="黑体" w:eastAsia="黑体" w:cs="黑体"/>
          <w:color w:val="auto"/>
        </w:rPr>
      </w:pPr>
      <w:r>
        <w:rPr>
          <w:rFonts w:hint="eastAsia" w:ascii="黑体" w:hAnsi="黑体" w:eastAsia="黑体" w:cs="黑体"/>
          <w:color w:val="auto"/>
        </w:rPr>
        <w:t>七、设备接入与区域心电联动</w:t>
      </w:r>
    </w:p>
    <w:p w14:paraId="15406EA5">
      <w:pPr>
        <w:ind w:firstLine="0"/>
        <w:rPr>
          <w:color w:val="auto"/>
        </w:rPr>
      </w:pPr>
      <w:r>
        <w:rPr>
          <w:rFonts w:hint="eastAsia" w:ascii="宋体" w:hAnsi="宋体" w:eastAsia="宋体"/>
          <w:color w:val="auto"/>
          <w:sz w:val="21"/>
        </w:rPr>
        <w:t>（1）系统须具备广泛的兼容性，支持常规心电、动态心电、动态血压、运动负荷试验、脑电图、胎儿心电及倾斜试验等心电电生理检查设备接入，并可提供相应的分析功能，满足未来医院业务发展需要。</w:t>
      </w:r>
    </w:p>
    <w:p w14:paraId="0EBCC2F9">
      <w:pPr>
        <w:ind w:firstLine="0"/>
        <w:rPr>
          <w:color w:val="auto"/>
        </w:rPr>
      </w:pPr>
      <w:r>
        <w:rPr>
          <w:rFonts w:hint="eastAsia" w:ascii="宋体" w:hAnsi="宋体" w:eastAsia="宋体"/>
          <w:color w:val="auto"/>
          <w:sz w:val="21"/>
        </w:rPr>
        <w:t>（2）▲系统须支持基于国际/国家标准化接口协议（包括但不限于HL7、DICOM、WebService等），与上级医院或托管医院远程心电平台进行标准化数据交换，实现心电数据互联互通和远程心电会诊功能。</w:t>
      </w:r>
    </w:p>
    <w:p w14:paraId="5ECFC4AD">
      <w:pPr>
        <w:ind w:firstLine="0"/>
        <w:rPr>
          <w:color w:val="auto"/>
        </w:rPr>
      </w:pPr>
      <w:r>
        <w:rPr>
          <w:rFonts w:hint="eastAsia" w:ascii="宋体" w:hAnsi="宋体" w:eastAsia="宋体"/>
          <w:color w:val="auto"/>
          <w:sz w:val="21"/>
        </w:rPr>
        <w:t>（</w:t>
      </w:r>
      <w:r>
        <w:rPr>
          <w:rFonts w:hint="eastAsia"/>
          <w:color w:val="auto"/>
          <w:sz w:val="21"/>
          <w:lang w:val="en-US" w:eastAsia="zh-CN"/>
        </w:rPr>
        <w:t>3</w:t>
      </w:r>
      <w:r>
        <w:rPr>
          <w:rFonts w:hint="eastAsia" w:ascii="宋体" w:hAnsi="宋体" w:eastAsia="宋体"/>
          <w:color w:val="auto"/>
          <w:sz w:val="21"/>
        </w:rPr>
        <w:t>）支持胸痛患者数据对接功能，可通过标准接口将胸痛患者心电图同步至胸痛信息管理平台或相关急救信息系统，实现快速启动胸痛转诊流程。</w:t>
      </w:r>
    </w:p>
    <w:p w14:paraId="4B39CA22">
      <w:pPr>
        <w:pStyle w:val="4"/>
        <w:bidi w:val="0"/>
        <w:rPr>
          <w:rFonts w:hint="eastAsia" w:ascii="黑体" w:hAnsi="黑体" w:eastAsia="黑体" w:cs="黑体"/>
          <w:color w:val="auto"/>
        </w:rPr>
      </w:pPr>
      <w:r>
        <w:rPr>
          <w:rFonts w:hint="eastAsia" w:ascii="黑体" w:hAnsi="黑体" w:eastAsia="黑体" w:cs="黑体"/>
          <w:color w:val="auto"/>
        </w:rPr>
        <w:t>八、心电设备参数要求</w:t>
      </w:r>
    </w:p>
    <w:p w14:paraId="41E9E6ED">
      <w:pPr>
        <w:pStyle w:val="5"/>
        <w:rPr>
          <w:rFonts w:hint="eastAsia" w:ascii="黑体" w:hAnsi="黑体" w:eastAsia="黑体" w:cs="黑体"/>
          <w:color w:val="auto"/>
        </w:rPr>
      </w:pPr>
      <w:r>
        <w:rPr>
          <w:rFonts w:hint="eastAsia" w:ascii="黑体" w:hAnsi="黑体" w:eastAsia="黑体" w:cs="黑体"/>
          <w:color w:val="auto"/>
        </w:rPr>
        <w:t>8.1 十二导同步心电分析系统（心电工作站）</w:t>
      </w:r>
    </w:p>
    <w:p w14:paraId="2BB786A3">
      <w:pPr>
        <w:rPr>
          <w:color w:val="auto"/>
        </w:rPr>
      </w:pPr>
      <w:r>
        <w:rPr>
          <w:rFonts w:hint="eastAsia" w:ascii="宋体" w:hAnsi="宋体" w:eastAsia="宋体"/>
          <w:b/>
          <w:color w:val="auto"/>
          <w:sz w:val="21"/>
        </w:rPr>
        <w:t>配置数量：2套（心电图室2套）</w:t>
      </w:r>
    </w:p>
    <w:p w14:paraId="34EE008B">
      <w:pPr>
        <w:rPr>
          <w:color w:val="auto"/>
        </w:rPr>
      </w:pPr>
      <w:r>
        <w:rPr>
          <w:rFonts w:hint="eastAsia" w:ascii="宋体" w:hAnsi="宋体" w:eastAsia="宋体"/>
          <w:b w:val="0"/>
          <w:color w:val="auto"/>
          <w:sz w:val="21"/>
        </w:rPr>
        <w:t>心电工作站配备台式电脑与激光打印机，作为心电诊断中心的核心分析平台，须具备12导同步心电采集及心向量、心室晚电位、心率变异、频谱心电、高频心电等多种心电分析功能，支持接收下级医院/科室传输的心电图并完成远程诊断。</w:t>
      </w:r>
    </w:p>
    <w:p w14:paraId="61FF6B5A">
      <w:pPr>
        <w:ind w:firstLine="0"/>
        <w:rPr>
          <w:color w:val="auto"/>
        </w:rPr>
      </w:pPr>
      <w:r>
        <w:rPr>
          <w:rFonts w:hint="eastAsia" w:ascii="宋体" w:hAnsi="宋体" w:eastAsia="宋体"/>
          <w:color w:val="auto"/>
          <w:sz w:val="21"/>
        </w:rPr>
        <w:t>（1）ECG输入：12导同步采集。</w:t>
      </w:r>
    </w:p>
    <w:p w14:paraId="5E24844D">
      <w:pPr>
        <w:ind w:firstLine="0"/>
        <w:rPr>
          <w:color w:val="auto"/>
        </w:rPr>
      </w:pPr>
      <w:r>
        <w:rPr>
          <w:rFonts w:hint="eastAsia" w:ascii="宋体" w:hAnsi="宋体" w:eastAsia="宋体"/>
          <w:color w:val="auto"/>
          <w:sz w:val="21"/>
        </w:rPr>
        <w:t>（2）输入阻抗：≥100MΩ。</w:t>
      </w:r>
    </w:p>
    <w:p w14:paraId="15CEE213">
      <w:pPr>
        <w:ind w:firstLine="0"/>
        <w:rPr>
          <w:color w:val="auto"/>
        </w:rPr>
      </w:pPr>
      <w:r>
        <w:rPr>
          <w:rFonts w:hint="eastAsia" w:ascii="宋体" w:hAnsi="宋体" w:eastAsia="宋体"/>
          <w:color w:val="auto"/>
          <w:sz w:val="21"/>
        </w:rPr>
        <w:t>（3）输入回路电流：≤0.1μA。</w:t>
      </w:r>
    </w:p>
    <w:p w14:paraId="718841C1">
      <w:pPr>
        <w:ind w:firstLine="0"/>
        <w:rPr>
          <w:color w:val="auto"/>
        </w:rPr>
      </w:pPr>
      <w:r>
        <w:rPr>
          <w:rFonts w:hint="eastAsia" w:ascii="宋体" w:hAnsi="宋体" w:eastAsia="宋体"/>
          <w:color w:val="auto"/>
          <w:sz w:val="21"/>
        </w:rPr>
        <w:t>（4）噪声：≤15μVp-p。</w:t>
      </w:r>
    </w:p>
    <w:p w14:paraId="707FB6E9">
      <w:pPr>
        <w:ind w:firstLine="0"/>
        <w:rPr>
          <w:color w:val="auto"/>
        </w:rPr>
      </w:pPr>
      <w:r>
        <w:rPr>
          <w:rFonts w:hint="eastAsia" w:ascii="宋体" w:hAnsi="宋体" w:eastAsia="宋体"/>
          <w:color w:val="auto"/>
          <w:sz w:val="21"/>
        </w:rPr>
        <w:t>（5）定标电压：</w:t>
      </w:r>
      <w:r>
        <w:rPr>
          <w:rFonts w:hint="default" w:ascii="宋体" w:hAnsi="宋体" w:eastAsia="宋体" w:cs="宋体"/>
          <w:color w:val="auto"/>
          <w:sz w:val="21"/>
          <w:szCs w:val="21"/>
          <w:highlight w:val="none"/>
          <w:lang w:val="en-US" w:eastAsia="zh-CN"/>
        </w:rPr>
        <w:t>≤1mV±1%</w:t>
      </w:r>
      <w:r>
        <w:rPr>
          <w:rFonts w:hint="eastAsia" w:ascii="宋体" w:hAnsi="宋体" w:eastAsia="宋体" w:cs="宋体"/>
          <w:color w:val="auto"/>
          <w:sz w:val="21"/>
          <w:szCs w:val="21"/>
          <w:highlight w:val="none"/>
          <w:lang w:val="en-US" w:eastAsia="zh-CN"/>
        </w:rPr>
        <w:t>。</w:t>
      </w:r>
    </w:p>
    <w:p w14:paraId="7E3ABDB2">
      <w:pPr>
        <w:ind w:firstLine="0"/>
        <w:rPr>
          <w:color w:val="auto"/>
        </w:rPr>
      </w:pPr>
      <w:r>
        <w:rPr>
          <w:rFonts w:hint="eastAsia" w:ascii="宋体" w:hAnsi="宋体" w:eastAsia="宋体"/>
          <w:color w:val="auto"/>
          <w:sz w:val="21"/>
        </w:rPr>
        <w:t>（6）频率响应范围：覆盖</w:t>
      </w:r>
      <w:r>
        <w:rPr>
          <w:rFonts w:hint="default" w:ascii="宋体" w:hAnsi="宋体" w:eastAsia="宋体" w:cs="宋体"/>
          <w:color w:val="auto"/>
          <w:sz w:val="21"/>
          <w:szCs w:val="21"/>
          <w:highlight w:val="none"/>
          <w:lang w:val="en-US" w:eastAsia="zh-CN"/>
        </w:rPr>
        <w:t>0.05-500Hz</w:t>
      </w:r>
      <w:r>
        <w:rPr>
          <w:rFonts w:hint="eastAsia" w:ascii="宋体" w:hAnsi="宋体" w:eastAsia="宋体"/>
          <w:color w:val="auto"/>
          <w:sz w:val="21"/>
        </w:rPr>
        <w:t>。</w:t>
      </w:r>
    </w:p>
    <w:p w14:paraId="55294B9E">
      <w:pPr>
        <w:ind w:firstLine="0"/>
        <w:rPr>
          <w:color w:val="auto"/>
        </w:rPr>
      </w:pPr>
      <w:r>
        <w:rPr>
          <w:rFonts w:hint="eastAsia" w:ascii="宋体" w:hAnsi="宋体" w:eastAsia="宋体"/>
          <w:color w:val="auto"/>
          <w:sz w:val="21"/>
        </w:rPr>
        <w:t>（7）共模抑制比：≥100dB。</w:t>
      </w:r>
    </w:p>
    <w:p w14:paraId="26698AF4">
      <w:pPr>
        <w:ind w:firstLine="0"/>
        <w:rPr>
          <w:color w:val="auto"/>
        </w:rPr>
      </w:pPr>
      <w:r>
        <w:rPr>
          <w:rFonts w:hint="eastAsia" w:ascii="宋体" w:hAnsi="宋体" w:eastAsia="宋体"/>
          <w:color w:val="auto"/>
          <w:sz w:val="21"/>
        </w:rPr>
        <w:t>（8）时间常数：≥3.2s。</w:t>
      </w:r>
    </w:p>
    <w:p w14:paraId="28709A18">
      <w:pPr>
        <w:ind w:firstLine="0"/>
        <w:rPr>
          <w:color w:val="auto"/>
        </w:rPr>
      </w:pPr>
      <w:r>
        <w:rPr>
          <w:rFonts w:hint="eastAsia" w:ascii="宋体" w:hAnsi="宋体" w:eastAsia="宋体"/>
          <w:color w:val="auto"/>
          <w:sz w:val="21"/>
        </w:rPr>
        <w:t>（9）</w:t>
      </w:r>
      <w:r>
        <w:rPr>
          <w:rFonts w:hint="eastAsia" w:ascii="宋体" w:hAnsi="宋体" w:eastAsia="宋体"/>
          <w:color w:val="auto"/>
          <w:sz w:val="21"/>
        </w:rPr>
        <w:t>▲耐极化电压：</w:t>
      </w:r>
      <w:r>
        <w:rPr>
          <w:rFonts w:hint="default"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600</w:t>
      </w:r>
      <w:r>
        <w:rPr>
          <w:rFonts w:hint="default" w:ascii="宋体" w:hAnsi="宋体" w:eastAsia="宋体" w:cs="宋体"/>
          <w:color w:val="auto"/>
          <w:sz w:val="21"/>
          <w:szCs w:val="21"/>
          <w:highlight w:val="none"/>
          <w:lang w:val="en-US" w:eastAsia="zh-CN"/>
        </w:rPr>
        <w:t>mV</w:t>
      </w:r>
    </w:p>
    <w:p w14:paraId="3898413F">
      <w:pPr>
        <w:ind w:firstLine="0"/>
        <w:rPr>
          <w:color w:val="auto"/>
        </w:rPr>
      </w:pPr>
      <w:r>
        <w:rPr>
          <w:rFonts w:hint="eastAsia" w:ascii="宋体" w:hAnsi="宋体" w:eastAsia="宋体"/>
          <w:color w:val="auto"/>
          <w:sz w:val="21"/>
        </w:rPr>
        <w:t>（10）用于医疗机构描记和分析常规心电图（ECG）、心室晚电位（VLP）、心率变异（HRV）等。</w:t>
      </w:r>
    </w:p>
    <w:p w14:paraId="5136B0B3">
      <w:pPr>
        <w:ind w:firstLine="0"/>
        <w:rPr>
          <w:color w:val="auto"/>
        </w:rPr>
      </w:pPr>
      <w:r>
        <w:rPr>
          <w:rFonts w:hint="eastAsia" w:ascii="宋体" w:hAnsi="宋体" w:eastAsia="宋体"/>
          <w:color w:val="auto"/>
          <w:sz w:val="21"/>
        </w:rPr>
        <w:t>（11）用于医疗机构描记和分析频谱心电图、空间向量心电图和时间向量心电图等。</w:t>
      </w:r>
    </w:p>
    <w:p w14:paraId="76BC735E">
      <w:pPr>
        <w:ind w:firstLine="0"/>
        <w:rPr>
          <w:color w:val="auto"/>
        </w:rPr>
      </w:pPr>
      <w:r>
        <w:rPr>
          <w:rFonts w:hint="eastAsia" w:ascii="宋体" w:hAnsi="宋体" w:eastAsia="宋体"/>
          <w:color w:val="auto"/>
          <w:sz w:val="21"/>
        </w:rPr>
        <w:t>（12）具备常规心电导联心电波形自动测量、分析及数据打印。</w:t>
      </w:r>
    </w:p>
    <w:p w14:paraId="1ABE961C">
      <w:pPr>
        <w:ind w:firstLine="0"/>
        <w:rPr>
          <w:rFonts w:hint="eastAsia" w:ascii="宋体" w:hAnsi="宋体" w:eastAsia="宋体"/>
          <w:color w:val="auto"/>
          <w:sz w:val="21"/>
        </w:rPr>
      </w:pPr>
      <w:r>
        <w:rPr>
          <w:rFonts w:hint="eastAsia" w:ascii="宋体" w:hAnsi="宋体" w:eastAsia="宋体"/>
          <w:color w:val="auto"/>
          <w:sz w:val="21"/>
        </w:rPr>
        <w:t>（13）频谱心电图具备自动分析功能，包括自功率谱、传递函数、互相关函数、相干函数的自动计算及指标识别。</w:t>
      </w:r>
    </w:p>
    <w:p w14:paraId="584E112A">
      <w:pPr>
        <w:pStyle w:val="20"/>
        <w:numPr>
          <w:ilvl w:val="0"/>
          <w:numId w:val="7"/>
        </w:numPr>
        <w:spacing w:line="360" w:lineRule="auto"/>
        <w:ind w:left="0" w:leftChars="0" w:firstLine="0" w:firstLineChars="0"/>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具有标准的心电图诊断摸板报告助手，以辅助医生快速诊断心电图</w:t>
      </w:r>
      <w:r>
        <w:rPr>
          <w:rFonts w:hint="eastAsia" w:ascii="宋体" w:hAnsi="宋体" w:eastAsia="宋体" w:cs="宋体"/>
          <w:color w:val="auto"/>
          <w:sz w:val="21"/>
          <w:szCs w:val="21"/>
          <w:highlight w:val="none"/>
          <w:lang w:val="en-US" w:eastAsia="zh-CN"/>
        </w:rPr>
        <w:t>。</w:t>
      </w:r>
    </w:p>
    <w:p w14:paraId="19493506">
      <w:pPr>
        <w:pStyle w:val="20"/>
        <w:numPr>
          <w:ilvl w:val="0"/>
          <w:numId w:val="7"/>
        </w:numPr>
        <w:spacing w:line="360" w:lineRule="auto"/>
        <w:ind w:left="0" w:leftChars="0" w:firstLine="0" w:firstLineChars="0"/>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具备病历导入、导出功能：可将病历导入或导出系统软件，支持导出XML、源始数据、HL7、图文报告、Excel等多种格式；</w:t>
      </w:r>
    </w:p>
    <w:p w14:paraId="70E94876">
      <w:pPr>
        <w:pStyle w:val="20"/>
        <w:numPr>
          <w:ilvl w:val="0"/>
          <w:numId w:val="7"/>
        </w:numPr>
        <w:spacing w:line="360" w:lineRule="auto"/>
        <w:ind w:left="0" w:leftChars="0" w:firstLine="0" w:firstLineChars="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具备将所有检查数据导出</w:t>
      </w:r>
      <w:r>
        <w:rPr>
          <w:rFonts w:hint="default" w:ascii="宋体" w:hAnsi="宋体" w:eastAsia="宋体" w:cs="宋体"/>
          <w:color w:val="auto"/>
          <w:sz w:val="21"/>
          <w:szCs w:val="21"/>
          <w:highlight w:val="none"/>
          <w:lang w:val="en-US" w:eastAsia="zh-CN"/>
        </w:rPr>
        <w:t>Excel</w:t>
      </w:r>
      <w:r>
        <w:rPr>
          <w:rFonts w:hint="eastAsia" w:ascii="宋体" w:hAnsi="宋体" w:eastAsia="宋体" w:cs="宋体"/>
          <w:color w:val="auto"/>
          <w:sz w:val="21"/>
          <w:szCs w:val="21"/>
          <w:highlight w:val="none"/>
          <w:lang w:val="en-US" w:eastAsia="zh-CN"/>
        </w:rPr>
        <w:t>表格；</w:t>
      </w:r>
    </w:p>
    <w:p w14:paraId="2E3D8363">
      <w:pPr>
        <w:pStyle w:val="20"/>
        <w:numPr>
          <w:ilvl w:val="0"/>
          <w:numId w:val="7"/>
        </w:numPr>
        <w:spacing w:line="360" w:lineRule="auto"/>
        <w:ind w:left="0" w:leftChars="0" w:firstLine="0" w:firstLineChars="0"/>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具备</w:t>
      </w:r>
      <w:r>
        <w:rPr>
          <w:rFonts w:hint="eastAsia" w:ascii="宋体" w:hAnsi="宋体" w:eastAsia="宋体" w:cs="宋体"/>
          <w:color w:val="auto"/>
          <w:sz w:val="21"/>
          <w:szCs w:val="21"/>
          <w:highlight w:val="none"/>
          <w:lang w:val="en-US" w:eastAsia="zh-CN"/>
        </w:rPr>
        <w:t>检查</w:t>
      </w:r>
      <w:r>
        <w:rPr>
          <w:rFonts w:hint="default" w:ascii="宋体" w:hAnsi="宋体" w:eastAsia="宋体" w:cs="宋体"/>
          <w:color w:val="auto"/>
          <w:sz w:val="21"/>
          <w:szCs w:val="21"/>
          <w:highlight w:val="none"/>
          <w:lang w:val="en-US" w:eastAsia="zh-CN"/>
        </w:rPr>
        <w:t>合并功能：可将有数据无病历信息和有病历信息无数据的两条不完整病历合并为一条既有病历信息又有数据的完整病历；</w:t>
      </w:r>
    </w:p>
    <w:p w14:paraId="663A88CF">
      <w:pPr>
        <w:pStyle w:val="20"/>
        <w:numPr>
          <w:ilvl w:val="0"/>
          <w:numId w:val="7"/>
        </w:numPr>
        <w:spacing w:line="360" w:lineRule="auto"/>
        <w:ind w:left="0" w:leftChars="0" w:firstLine="0" w:firstLineChars="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具备申请单合并功能：将两条申请单合并为一条检查申请；</w:t>
      </w:r>
    </w:p>
    <w:p w14:paraId="223787F8">
      <w:pPr>
        <w:pStyle w:val="20"/>
        <w:numPr>
          <w:ilvl w:val="0"/>
          <w:numId w:val="7"/>
        </w:numPr>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支持与医院心电信息管理系统、HIS\EMR无缝集成，实现全院心电数据的统一存储与统一管理</w:t>
      </w:r>
      <w:r>
        <w:rPr>
          <w:rFonts w:hint="eastAsia" w:ascii="宋体" w:hAnsi="宋体" w:eastAsia="宋体" w:cs="宋体"/>
          <w:color w:val="auto"/>
          <w:sz w:val="21"/>
          <w:szCs w:val="21"/>
          <w:highlight w:val="none"/>
          <w:lang w:val="en-US" w:eastAsia="zh-CN"/>
        </w:rPr>
        <w:t>。</w:t>
      </w:r>
    </w:p>
    <w:p w14:paraId="4CD0F01E">
      <w:pPr>
        <w:pStyle w:val="5"/>
        <w:rPr>
          <w:rFonts w:hint="eastAsia" w:ascii="黑体" w:hAnsi="黑体" w:eastAsia="黑体" w:cs="黑体"/>
          <w:color w:val="auto"/>
        </w:rPr>
      </w:pPr>
      <w:r>
        <w:rPr>
          <w:rFonts w:hint="eastAsia" w:ascii="黑体" w:hAnsi="黑体" w:eastAsia="黑体" w:cs="黑体"/>
          <w:color w:val="auto"/>
        </w:rPr>
        <w:t>8.2 数字心电图机</w:t>
      </w:r>
    </w:p>
    <w:p w14:paraId="7AACA5BB">
      <w:pPr>
        <w:rPr>
          <w:color w:val="auto"/>
        </w:rPr>
      </w:pPr>
      <w:r>
        <w:rPr>
          <w:rFonts w:hint="eastAsia" w:ascii="宋体" w:hAnsi="宋体" w:eastAsia="宋体"/>
          <w:b/>
          <w:color w:val="auto"/>
          <w:sz w:val="21"/>
        </w:rPr>
        <w:t>配置数量：4套（供临床科室常规心电检查及急诊快速响应使用）</w:t>
      </w:r>
    </w:p>
    <w:p w14:paraId="064D59F1">
      <w:pPr>
        <w:rPr>
          <w:color w:val="auto"/>
        </w:rPr>
      </w:pPr>
      <w:r>
        <w:rPr>
          <w:rFonts w:hint="eastAsia" w:ascii="宋体" w:hAnsi="宋体" w:eastAsia="宋体"/>
          <w:b w:val="0"/>
          <w:color w:val="auto"/>
          <w:sz w:val="21"/>
        </w:rPr>
        <w:t>数字心电图机为标准12导版本，适用于临床科室常规心电检查，内置4G/5G等移动通信模块或具备相应扩展能力，支持床旁移动检查，须具备胸痛患者心电图快速采集与数据传输功能。</w:t>
      </w:r>
    </w:p>
    <w:p w14:paraId="20234517">
      <w:pPr>
        <w:ind w:firstLine="0"/>
        <w:rPr>
          <w:color w:val="auto"/>
        </w:rPr>
      </w:pPr>
      <w:r>
        <w:rPr>
          <w:rFonts w:hint="eastAsia" w:ascii="宋体" w:hAnsi="宋体" w:eastAsia="宋体"/>
          <w:color w:val="auto"/>
          <w:sz w:val="21"/>
        </w:rPr>
        <w:t>（1）采集方式：12导联同步采集。</w:t>
      </w:r>
    </w:p>
    <w:p w14:paraId="69532292">
      <w:pPr>
        <w:ind w:firstLine="0"/>
        <w:rPr>
          <w:color w:val="auto"/>
        </w:rPr>
      </w:pPr>
      <w:r>
        <w:rPr>
          <w:rFonts w:hint="eastAsia" w:ascii="宋体" w:hAnsi="宋体" w:eastAsia="宋体"/>
          <w:color w:val="auto"/>
          <w:sz w:val="21"/>
        </w:rPr>
        <w:t>（2）支持常规12导心电采集及扩展导联采集模式（如18导心电数据采集）。</w:t>
      </w:r>
    </w:p>
    <w:p w14:paraId="3B2803E2">
      <w:pPr>
        <w:ind w:firstLine="0"/>
        <w:rPr>
          <w:color w:val="auto"/>
        </w:rPr>
      </w:pPr>
      <w:r>
        <w:rPr>
          <w:rFonts w:hint="eastAsia" w:ascii="宋体" w:hAnsi="宋体" w:eastAsia="宋体"/>
          <w:color w:val="auto"/>
          <w:sz w:val="21"/>
        </w:rPr>
        <w:t>（3）共模抑制比：≥100dB。</w:t>
      </w:r>
    </w:p>
    <w:p w14:paraId="104C9415">
      <w:pPr>
        <w:ind w:firstLine="0"/>
        <w:rPr>
          <w:color w:val="auto"/>
        </w:rPr>
      </w:pPr>
      <w:r>
        <w:rPr>
          <w:rFonts w:hint="eastAsia" w:ascii="宋体" w:hAnsi="宋体" w:eastAsia="宋体"/>
          <w:color w:val="auto"/>
          <w:sz w:val="21"/>
        </w:rPr>
        <w:t>（4）</w:t>
      </w:r>
      <w:r>
        <w:rPr>
          <w:rFonts w:hint="eastAsia" w:ascii="宋体" w:hAnsi="宋体" w:eastAsia="宋体"/>
          <w:color w:val="auto"/>
          <w:sz w:val="21"/>
        </w:rPr>
        <w:t>▲耐极化电压：≥</w:t>
      </w:r>
      <w:r>
        <w:rPr>
          <w:rFonts w:hint="eastAsia" w:ascii="宋体" w:hAnsi="宋体" w:cs="宋体"/>
          <w:bCs/>
          <w:color w:val="auto"/>
          <w:szCs w:val="21"/>
        </w:rPr>
        <w:t>±</w:t>
      </w:r>
      <w:r>
        <w:rPr>
          <w:rFonts w:hint="eastAsia" w:cs="宋体"/>
          <w:bCs/>
          <w:color w:val="auto"/>
          <w:szCs w:val="21"/>
          <w:lang w:val="en-US" w:eastAsia="zh-CN"/>
        </w:rPr>
        <w:t>600</w:t>
      </w:r>
      <w:r>
        <w:rPr>
          <w:rFonts w:hint="eastAsia" w:ascii="宋体" w:hAnsi="宋体" w:cs="宋体"/>
          <w:bCs/>
          <w:color w:val="auto"/>
          <w:szCs w:val="21"/>
        </w:rPr>
        <w:t>mV</w:t>
      </w:r>
      <w:r>
        <w:rPr>
          <w:rFonts w:hint="eastAsia" w:ascii="宋体" w:hAnsi="宋体" w:eastAsia="宋体"/>
          <w:color w:val="auto"/>
          <w:sz w:val="21"/>
        </w:rPr>
        <w:t>。</w:t>
      </w:r>
    </w:p>
    <w:p w14:paraId="030692B5">
      <w:pPr>
        <w:ind w:firstLine="0"/>
        <w:rPr>
          <w:color w:val="auto"/>
        </w:rPr>
      </w:pPr>
      <w:r>
        <w:rPr>
          <w:rFonts w:hint="eastAsia" w:ascii="宋体" w:hAnsi="宋体" w:eastAsia="宋体"/>
          <w:color w:val="auto"/>
          <w:sz w:val="21"/>
        </w:rPr>
        <w:t>（5）频率响应范围：</w:t>
      </w:r>
      <w:r>
        <w:rPr>
          <w:rFonts w:hint="eastAsia" w:ascii="宋体" w:hAnsi="宋体" w:cs="宋体"/>
          <w:bCs/>
          <w:color w:val="auto"/>
          <w:szCs w:val="21"/>
        </w:rPr>
        <w:t>0.05-500Hz</w:t>
      </w:r>
      <w:r>
        <w:rPr>
          <w:rFonts w:hint="eastAsia" w:ascii="宋体" w:hAnsi="宋体" w:eastAsia="宋体"/>
          <w:color w:val="auto"/>
          <w:sz w:val="21"/>
        </w:rPr>
        <w:t>。</w:t>
      </w:r>
    </w:p>
    <w:p w14:paraId="47467178">
      <w:pPr>
        <w:ind w:firstLine="0"/>
        <w:rPr>
          <w:color w:val="auto"/>
        </w:rPr>
      </w:pPr>
      <w:r>
        <w:rPr>
          <w:rFonts w:hint="eastAsia" w:ascii="宋体" w:hAnsi="宋体" w:eastAsia="宋体"/>
          <w:color w:val="auto"/>
          <w:sz w:val="21"/>
        </w:rPr>
        <w:t>（6）</w:t>
      </w:r>
      <w:commentRangeStart w:id="6"/>
      <w:r>
        <w:rPr>
          <w:rFonts w:hint="eastAsia" w:ascii="宋体" w:hAnsi="宋体" w:eastAsia="宋体"/>
          <w:color w:val="auto"/>
          <w:sz w:val="21"/>
        </w:rPr>
        <w:t>▲输入阻抗：</w:t>
      </w:r>
      <w:r>
        <w:rPr>
          <w:rFonts w:hint="eastAsia" w:ascii="宋体" w:hAnsi="宋体" w:cs="宋体"/>
          <w:bCs/>
          <w:color w:val="auto"/>
          <w:szCs w:val="21"/>
        </w:rPr>
        <w:t>≥1</w:t>
      </w:r>
      <w:r>
        <w:rPr>
          <w:rFonts w:hint="eastAsia" w:cs="宋体"/>
          <w:bCs/>
          <w:color w:val="auto"/>
          <w:szCs w:val="21"/>
          <w:lang w:val="en-US" w:eastAsia="zh-CN"/>
        </w:rPr>
        <w:t>0</w:t>
      </w:r>
      <w:r>
        <w:rPr>
          <w:rFonts w:hint="eastAsia" w:ascii="宋体" w:hAnsi="宋体" w:cs="宋体"/>
          <w:bCs/>
          <w:color w:val="auto"/>
          <w:szCs w:val="21"/>
        </w:rPr>
        <w:t>0MΩ</w:t>
      </w:r>
      <w:r>
        <w:rPr>
          <w:rFonts w:hint="eastAsia" w:ascii="宋体" w:hAnsi="宋体" w:eastAsia="宋体"/>
          <w:color w:val="auto"/>
          <w:sz w:val="21"/>
        </w:rPr>
        <w:t>。</w:t>
      </w:r>
      <w:commentRangeEnd w:id="6"/>
      <w:r>
        <w:rPr>
          <w:color w:val="auto"/>
        </w:rPr>
        <w:commentReference w:id="6"/>
      </w:r>
      <w:r>
        <w:rPr>
          <w:color w:val="auto"/>
        </w:rPr>
        <w:commentReference w:id="7"/>
      </w:r>
    </w:p>
    <w:p w14:paraId="3B8E8399">
      <w:pPr>
        <w:ind w:firstLine="0"/>
        <w:rPr>
          <w:color w:val="auto"/>
        </w:rPr>
      </w:pPr>
      <w:r>
        <w:rPr>
          <w:rFonts w:hint="eastAsia" w:ascii="宋体" w:hAnsi="宋体" w:eastAsia="宋体"/>
          <w:color w:val="auto"/>
          <w:sz w:val="21"/>
        </w:rPr>
        <w:t>（7）定标电压：</w:t>
      </w:r>
      <w:r>
        <w:rPr>
          <w:rFonts w:hint="eastAsia" w:ascii="宋体" w:hAnsi="宋体" w:cs="宋体"/>
          <w:bCs/>
          <w:color w:val="auto"/>
          <w:szCs w:val="21"/>
        </w:rPr>
        <w:t>1mV土1%</w:t>
      </w:r>
      <w:r>
        <w:rPr>
          <w:rFonts w:hint="eastAsia" w:ascii="宋体" w:hAnsi="宋体" w:eastAsia="宋体"/>
          <w:color w:val="auto"/>
          <w:sz w:val="21"/>
        </w:rPr>
        <w:t>。</w:t>
      </w:r>
    </w:p>
    <w:p w14:paraId="410863D6">
      <w:pPr>
        <w:ind w:firstLine="0"/>
        <w:rPr>
          <w:color w:val="auto"/>
        </w:rPr>
      </w:pPr>
      <w:r>
        <w:rPr>
          <w:rFonts w:hint="eastAsia" w:ascii="宋体" w:hAnsi="宋体" w:eastAsia="宋体"/>
          <w:color w:val="auto"/>
          <w:sz w:val="21"/>
        </w:rPr>
        <w:t>（8）灵敏度（增益）：支持5mm/mV、10mm/mV、20mm/mV多档可调，误差不超过±5%。</w:t>
      </w:r>
    </w:p>
    <w:p w14:paraId="3F253E79">
      <w:pPr>
        <w:ind w:firstLine="0"/>
        <w:rPr>
          <w:color w:val="auto"/>
        </w:rPr>
      </w:pPr>
      <w:r>
        <w:rPr>
          <w:rFonts w:hint="eastAsia" w:ascii="宋体" w:hAnsi="宋体" w:eastAsia="宋体"/>
          <w:color w:val="auto"/>
          <w:sz w:val="21"/>
        </w:rPr>
        <w:t>（9）走纸速度：支持12.5mm/s、25mm/s、50mm/s多档可调，误差不超过±5%。</w:t>
      </w:r>
    </w:p>
    <w:p w14:paraId="417B6982">
      <w:pPr>
        <w:ind w:firstLine="0"/>
        <w:rPr>
          <w:rFonts w:hint="eastAsia" w:ascii="微软雅黑" w:hAnsi="微软雅黑" w:eastAsia="微软雅黑" w:cs="微软雅黑"/>
          <w:color w:val="auto"/>
          <w:sz w:val="21"/>
          <w:szCs w:val="21"/>
        </w:rPr>
      </w:pPr>
      <w:r>
        <w:rPr>
          <w:rFonts w:hint="eastAsia" w:ascii="宋体" w:hAnsi="宋体" w:eastAsia="宋体"/>
          <w:color w:val="auto"/>
          <w:sz w:val="21"/>
        </w:rPr>
        <w:t>（10）</w:t>
      </w:r>
      <w:r>
        <w:rPr>
          <w:rFonts w:hint="eastAsia" w:ascii="微软雅黑" w:hAnsi="微软雅黑" w:eastAsia="微软雅黑" w:cs="微软雅黑"/>
          <w:color w:val="auto"/>
          <w:sz w:val="21"/>
          <w:szCs w:val="21"/>
        </w:rPr>
        <w:t>▲显示屏：≥</w:t>
      </w:r>
      <w:r>
        <w:rPr>
          <w:rFonts w:hint="eastAsia" w:ascii="微软雅黑" w:hAnsi="微软雅黑" w:eastAsia="微软雅黑" w:cs="微软雅黑"/>
          <w:color w:val="auto"/>
          <w:sz w:val="21"/>
          <w:szCs w:val="21"/>
          <w:lang w:val="en-US" w:eastAsia="zh-CN"/>
        </w:rPr>
        <w:t>10</w:t>
      </w:r>
      <w:r>
        <w:rPr>
          <w:rFonts w:hint="eastAsia" w:ascii="微软雅黑" w:hAnsi="微软雅黑" w:eastAsia="微软雅黑" w:cs="微软雅黑"/>
          <w:color w:val="auto"/>
          <w:sz w:val="21"/>
          <w:szCs w:val="21"/>
        </w:rPr>
        <w:t>英寸彩色液晶触摸屏，分辨率不低于</w:t>
      </w:r>
      <w:r>
        <w:rPr>
          <w:rFonts w:hint="eastAsia" w:ascii="宋体" w:hAnsi="宋体" w:eastAsia="宋体"/>
          <w:color w:val="auto"/>
          <w:sz w:val="21"/>
        </w:rPr>
        <w:t>1024×768</w:t>
      </w:r>
      <w:r>
        <w:rPr>
          <w:rFonts w:hint="eastAsia" w:ascii="微软雅黑" w:hAnsi="微软雅黑" w:eastAsia="微软雅黑" w:cs="微软雅黑"/>
          <w:color w:val="auto"/>
          <w:sz w:val="21"/>
          <w:szCs w:val="21"/>
        </w:rPr>
        <w:t>像素，支持多点触控操作。</w:t>
      </w:r>
      <w:r>
        <w:rPr>
          <w:color w:val="auto"/>
        </w:rPr>
        <w:commentReference w:id="8"/>
      </w:r>
    </w:p>
    <w:p w14:paraId="010F50BA">
      <w:pPr>
        <w:ind w:firstLine="0"/>
        <w:rPr>
          <w:color w:val="auto"/>
        </w:rPr>
      </w:pPr>
      <w:r>
        <w:rPr>
          <w:rFonts w:hint="eastAsia" w:ascii="宋体" w:hAnsi="宋体" w:eastAsia="宋体"/>
          <w:color w:val="auto"/>
          <w:sz w:val="21"/>
        </w:rPr>
        <w:t>（11）心电导联线连接方式稳定可靠。</w:t>
      </w:r>
    </w:p>
    <w:p w14:paraId="42B66248">
      <w:pPr>
        <w:ind w:firstLine="0"/>
        <w:rPr>
          <w:color w:val="auto"/>
        </w:rPr>
      </w:pPr>
      <w:r>
        <w:rPr>
          <w:rFonts w:hint="eastAsia" w:ascii="宋体" w:hAnsi="宋体" w:eastAsia="宋体"/>
          <w:color w:val="auto"/>
          <w:sz w:val="21"/>
        </w:rPr>
        <w:t>（12）记录功能：内置热敏点阵打印。</w:t>
      </w:r>
    </w:p>
    <w:p w14:paraId="14FD556A">
      <w:pPr>
        <w:ind w:firstLine="0"/>
        <w:rPr>
          <w:color w:val="auto"/>
        </w:rPr>
      </w:pPr>
      <w:r>
        <w:rPr>
          <w:rFonts w:hint="eastAsia" w:ascii="宋体" w:hAnsi="宋体" w:eastAsia="宋体"/>
          <w:color w:val="auto"/>
          <w:sz w:val="21"/>
        </w:rPr>
        <w:t>（13）记录纸规格：支持210mm卷纸。</w:t>
      </w:r>
    </w:p>
    <w:p w14:paraId="3E58C342">
      <w:pPr>
        <w:ind w:firstLine="0"/>
        <w:rPr>
          <w:color w:val="auto"/>
        </w:rPr>
      </w:pPr>
      <w:r>
        <w:rPr>
          <w:rFonts w:hint="eastAsia" w:ascii="宋体" w:hAnsi="宋体" w:eastAsia="宋体"/>
          <w:color w:val="auto"/>
          <w:sz w:val="21"/>
        </w:rPr>
        <w:t>（14）支持多种打印格式，包括但不限于3×4、6×2+1、12×1等常用布局。</w:t>
      </w:r>
    </w:p>
    <w:p w14:paraId="14632410">
      <w:pPr>
        <w:ind w:firstLine="0"/>
        <w:rPr>
          <w:color w:val="auto"/>
        </w:rPr>
      </w:pPr>
      <w:r>
        <w:rPr>
          <w:rFonts w:hint="eastAsia" w:ascii="宋体" w:hAnsi="宋体" w:eastAsia="宋体"/>
          <w:color w:val="auto"/>
          <w:sz w:val="21"/>
        </w:rPr>
        <w:t>（15）数据存储：内部存储≥10000份病例，支持外接存储介质（SD卡、U盘等）。</w:t>
      </w:r>
    </w:p>
    <w:p w14:paraId="54DECC34">
      <w:pPr>
        <w:ind w:firstLine="0"/>
        <w:rPr>
          <w:color w:val="auto"/>
        </w:rPr>
      </w:pPr>
      <w:r>
        <w:rPr>
          <w:rFonts w:hint="eastAsia" w:ascii="宋体" w:hAnsi="宋体" w:eastAsia="宋体"/>
          <w:color w:val="auto"/>
          <w:sz w:val="21"/>
        </w:rPr>
        <w:t>（16）具备USB接口、SD卡插槽、LAN网络接口等常用外部接口。</w:t>
      </w:r>
    </w:p>
    <w:p w14:paraId="69A6E6EC">
      <w:pPr>
        <w:ind w:firstLine="0"/>
        <w:rPr>
          <w:color w:val="auto"/>
        </w:rPr>
      </w:pPr>
      <w:r>
        <w:rPr>
          <w:rFonts w:hint="eastAsia" w:ascii="宋体" w:hAnsi="宋体" w:eastAsia="宋体"/>
          <w:color w:val="auto"/>
          <w:sz w:val="21"/>
        </w:rPr>
        <w:t>（17）具备视频输出接口（如HDMI等），可用于教学演示。</w:t>
      </w:r>
    </w:p>
    <w:p w14:paraId="21C283AE">
      <w:pPr>
        <w:keepNext w:val="0"/>
        <w:keepLines w:val="0"/>
        <w:widowControl/>
        <w:numPr>
          <w:ilvl w:val="0"/>
          <w:numId w:val="0"/>
        </w:numPr>
        <w:suppressLineNumbers w:val="0"/>
        <w:spacing w:before="0" w:beforeAutospacing="1" w:after="0" w:afterAutospacing="1" w:line="27" w:lineRule="atLeast"/>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（18▲支持多种联网方式，包括但不限于：4G/5G移动通信（内置模块）、WIFI无线网络、有线以太网。</w:t>
      </w:r>
      <w:r>
        <w:rPr>
          <w:color w:val="auto"/>
        </w:rPr>
        <w:commentReference w:id="9"/>
      </w:r>
    </w:p>
    <w:p w14:paraId="2A47485E">
      <w:pPr>
        <w:ind w:firstLine="0"/>
        <w:rPr>
          <w:color w:val="auto"/>
        </w:rPr>
      </w:pPr>
      <w:r>
        <w:rPr>
          <w:rFonts w:hint="eastAsia" w:ascii="宋体" w:hAnsi="宋体" w:eastAsia="宋体"/>
          <w:color w:val="auto"/>
          <w:sz w:val="21"/>
        </w:rPr>
        <w:t>（19）设备结构设计便于移动携带，适合床旁及移动场景使用。</w:t>
      </w:r>
    </w:p>
    <w:p w14:paraId="41A3061C">
      <w:pPr>
        <w:ind w:firstLine="0"/>
        <w:rPr>
          <w:rFonts w:hint="eastAsia" w:ascii="宋体" w:hAnsi="宋体" w:eastAsia="宋体"/>
          <w:color w:val="auto"/>
          <w:sz w:val="21"/>
        </w:rPr>
      </w:pPr>
      <w:r>
        <w:rPr>
          <w:rFonts w:hint="eastAsia" w:ascii="宋体" w:hAnsi="宋体" w:eastAsia="宋体"/>
          <w:color w:val="auto"/>
          <w:sz w:val="21"/>
          <w:lang w:val="en-US" w:eastAsia="zh-CN"/>
        </w:rPr>
        <w:t>20</w:t>
      </w:r>
      <w:r>
        <w:rPr>
          <w:rFonts w:hint="eastAsia" w:ascii="宋体" w:hAnsi="宋体" w:eastAsia="宋体"/>
          <w:color w:val="auto"/>
          <w:sz w:val="21"/>
        </w:rPr>
        <w:t>）▲心电图机支持标准数据输出接口（如DICOM、HL7、FTP、WebService等），可配合医院现有网络安全设施（如网闸、光闸、防火墙等）实现心电图原始数据的安全传输，满足远程诊断数据交互需求。投标人须承诺配合采购人及医院信息部门完成与现有网络安全架构的对接集成。</w:t>
      </w:r>
      <w:r>
        <w:rPr>
          <w:color w:val="auto"/>
        </w:rPr>
        <w:commentReference w:id="10"/>
      </w:r>
    </w:p>
    <w:p w14:paraId="31C0673F">
      <w:pPr>
        <w:ind w:firstLine="0"/>
        <w:rPr>
          <w:color w:val="auto"/>
        </w:rPr>
      </w:pPr>
    </w:p>
    <w:p w14:paraId="3AD07C29">
      <w:pPr>
        <w:rPr>
          <w:color w:val="auto"/>
        </w:rPr>
      </w:pPr>
    </w:p>
    <w:p w14:paraId="378D47C7">
      <w:pPr>
        <w:pStyle w:val="4"/>
        <w:bidi w:val="0"/>
        <w:rPr>
          <w:rFonts w:hint="eastAsia" w:ascii="黑体" w:hAnsi="黑体" w:eastAsia="黑体" w:cs="黑体"/>
          <w:color w:val="auto"/>
        </w:rPr>
      </w:pPr>
      <w:r>
        <w:rPr>
          <w:rFonts w:hint="eastAsia" w:ascii="黑体" w:hAnsi="黑体" w:eastAsia="黑体" w:cs="黑体"/>
          <w:color w:val="auto"/>
        </w:rPr>
        <w:t>采购清单</w:t>
      </w:r>
    </w:p>
    <w:tbl>
      <w:tblPr>
        <w:tblStyle w:val="36"/>
        <w:tblW w:w="8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4232"/>
        <w:gridCol w:w="729"/>
        <w:gridCol w:w="729"/>
        <w:gridCol w:w="2281"/>
      </w:tblGrid>
      <w:tr w14:paraId="3D25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blHeader/>
          <w:jc w:val="center"/>
        </w:trPr>
        <w:tc>
          <w:tcPr>
            <w:tcW w:w="728" w:type="dxa"/>
            <w:shd w:val="clear" w:color="auto" w:fill="FFFFFF" w:themeFill="background1"/>
            <w:noWrap w:val="0"/>
            <w:tcMar>
              <w:top w:w="-1" w:type="dxa"/>
              <w:left w:w="-1" w:type="dxa"/>
              <w:bottom w:w="-1" w:type="dxa"/>
              <w:right w:w="-1" w:type="dxa"/>
            </w:tcMar>
            <w:vAlign w:val="center"/>
          </w:tcPr>
          <w:p w14:paraId="362878DA">
            <w:pPr>
              <w:snapToGrid w:val="0"/>
              <w:spacing w:line="240" w:lineRule="auto"/>
              <w:ind w:left="0" w:leftChars="0" w:right="0" w:rightChars="0" w:firstLine="0" w:firstLineChars="0"/>
              <w:jc w:val="center"/>
              <w:rPr>
                <w:rFonts w:ascii="宋体" w:eastAsia="宋体"/>
                <w:b/>
                <w:color w:val="auto"/>
                <w:sz w:val="18"/>
              </w:rPr>
            </w:pPr>
            <w:r>
              <w:rPr>
                <w:rFonts w:hint="eastAsia" w:ascii="宋体" w:hAnsi="宋体" w:eastAsia="宋体"/>
                <w:b/>
                <w:color w:val="auto"/>
                <w:sz w:val="18"/>
              </w:rPr>
              <w:t>序号</w:t>
            </w:r>
          </w:p>
        </w:tc>
        <w:tc>
          <w:tcPr>
            <w:tcW w:w="4232" w:type="dxa"/>
            <w:shd w:val="clear" w:color="auto" w:fill="FFFFFF" w:themeFill="background1"/>
            <w:noWrap w:val="0"/>
            <w:tcMar>
              <w:top w:w="-1" w:type="dxa"/>
              <w:left w:w="-1" w:type="dxa"/>
              <w:bottom w:w="-1" w:type="dxa"/>
              <w:right w:w="-1" w:type="dxa"/>
            </w:tcMar>
            <w:vAlign w:val="center"/>
          </w:tcPr>
          <w:p w14:paraId="742690E5">
            <w:pPr>
              <w:snapToGrid w:val="0"/>
              <w:spacing w:line="240" w:lineRule="auto"/>
              <w:ind w:left="0" w:leftChars="0" w:right="0" w:rightChars="0" w:firstLine="0" w:firstLineChars="0"/>
              <w:jc w:val="center"/>
              <w:rPr>
                <w:rFonts w:ascii="宋体" w:eastAsia="宋体"/>
                <w:b/>
                <w:color w:val="auto"/>
                <w:sz w:val="18"/>
              </w:rPr>
            </w:pPr>
            <w:r>
              <w:rPr>
                <w:rFonts w:hint="eastAsia" w:ascii="宋体" w:hAnsi="宋体" w:eastAsia="宋体"/>
                <w:b/>
                <w:color w:val="auto"/>
                <w:sz w:val="18"/>
              </w:rPr>
              <w:t>产品名称</w:t>
            </w:r>
          </w:p>
        </w:tc>
        <w:tc>
          <w:tcPr>
            <w:tcW w:w="729" w:type="dxa"/>
            <w:shd w:val="clear" w:color="auto" w:fill="FFFFFF" w:themeFill="background1"/>
            <w:noWrap w:val="0"/>
            <w:tcMar>
              <w:top w:w="-1" w:type="dxa"/>
              <w:left w:w="-1" w:type="dxa"/>
              <w:bottom w:w="-1" w:type="dxa"/>
              <w:right w:w="-1" w:type="dxa"/>
            </w:tcMar>
            <w:vAlign w:val="center"/>
          </w:tcPr>
          <w:p w14:paraId="77B509A3">
            <w:pPr>
              <w:snapToGrid w:val="0"/>
              <w:spacing w:line="240" w:lineRule="auto"/>
              <w:ind w:left="0" w:leftChars="0" w:right="0" w:rightChars="0" w:firstLine="0" w:firstLineChars="0"/>
              <w:jc w:val="center"/>
              <w:rPr>
                <w:rFonts w:ascii="宋体" w:eastAsia="宋体"/>
                <w:b/>
                <w:color w:val="auto"/>
                <w:sz w:val="18"/>
              </w:rPr>
            </w:pPr>
            <w:r>
              <w:rPr>
                <w:rFonts w:hint="eastAsia" w:ascii="宋体" w:hAnsi="宋体" w:eastAsia="宋体"/>
                <w:b/>
                <w:color w:val="auto"/>
                <w:sz w:val="18"/>
              </w:rPr>
              <w:t>数量</w:t>
            </w:r>
          </w:p>
        </w:tc>
        <w:tc>
          <w:tcPr>
            <w:tcW w:w="729" w:type="dxa"/>
            <w:shd w:val="clear" w:color="auto" w:fill="FFFFFF" w:themeFill="background1"/>
            <w:noWrap w:val="0"/>
            <w:tcMar>
              <w:top w:w="-1" w:type="dxa"/>
              <w:left w:w="-1" w:type="dxa"/>
              <w:bottom w:w="-1" w:type="dxa"/>
              <w:right w:w="-1" w:type="dxa"/>
            </w:tcMar>
            <w:vAlign w:val="center"/>
          </w:tcPr>
          <w:p w14:paraId="055D4368">
            <w:pPr>
              <w:snapToGrid w:val="0"/>
              <w:spacing w:line="240" w:lineRule="auto"/>
              <w:ind w:left="0" w:leftChars="0" w:right="0" w:rightChars="0" w:firstLine="0" w:firstLineChars="0"/>
              <w:jc w:val="center"/>
              <w:rPr>
                <w:rFonts w:ascii="宋体" w:eastAsia="宋体"/>
                <w:b/>
                <w:color w:val="auto"/>
                <w:sz w:val="18"/>
              </w:rPr>
            </w:pPr>
            <w:r>
              <w:rPr>
                <w:rFonts w:hint="eastAsia" w:ascii="宋体" w:hAnsi="宋体" w:eastAsia="宋体"/>
                <w:b/>
                <w:color w:val="auto"/>
                <w:sz w:val="18"/>
              </w:rPr>
              <w:t>单位</w:t>
            </w:r>
          </w:p>
        </w:tc>
        <w:tc>
          <w:tcPr>
            <w:tcW w:w="2281" w:type="dxa"/>
            <w:shd w:val="clear" w:color="auto" w:fill="FFFFFF" w:themeFill="background1"/>
            <w:noWrap w:val="0"/>
            <w:tcMar>
              <w:top w:w="-1" w:type="dxa"/>
              <w:left w:w="-1" w:type="dxa"/>
              <w:bottom w:w="-1" w:type="dxa"/>
              <w:right w:w="-1" w:type="dxa"/>
            </w:tcMar>
            <w:vAlign w:val="center"/>
          </w:tcPr>
          <w:p w14:paraId="13A88129">
            <w:pPr>
              <w:snapToGrid w:val="0"/>
              <w:spacing w:line="240" w:lineRule="auto"/>
              <w:ind w:left="0" w:leftChars="0" w:right="0" w:rightChars="0" w:firstLine="0" w:firstLineChars="0"/>
              <w:jc w:val="center"/>
              <w:rPr>
                <w:rFonts w:ascii="宋体" w:eastAsia="宋体"/>
                <w:b/>
                <w:color w:val="auto"/>
                <w:sz w:val="18"/>
              </w:rPr>
            </w:pPr>
            <w:r>
              <w:rPr>
                <w:rFonts w:hint="eastAsia" w:ascii="宋体" w:hAnsi="宋体" w:eastAsia="宋体"/>
                <w:b/>
                <w:color w:val="auto"/>
                <w:sz w:val="18"/>
              </w:rPr>
              <w:t>备注</w:t>
            </w:r>
          </w:p>
        </w:tc>
      </w:tr>
      <w:tr w14:paraId="1B68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28" w:type="dxa"/>
            <w:shd w:val="clear" w:color="auto" w:fill="auto"/>
            <w:noWrap w:val="0"/>
            <w:tcMar>
              <w:top w:w="-1" w:type="dxa"/>
              <w:left w:w="-1" w:type="dxa"/>
              <w:bottom w:w="-1" w:type="dxa"/>
              <w:right w:w="-1" w:type="dxa"/>
            </w:tcMar>
            <w:vAlign w:val="center"/>
          </w:tcPr>
          <w:p w14:paraId="26A1628B">
            <w:pPr>
              <w:snapToGrid w:val="0"/>
              <w:spacing w:line="240" w:lineRule="auto"/>
              <w:ind w:left="0" w:leftChars="0" w:right="0" w:rightChars="0" w:firstLine="0" w:firstLineChars="0"/>
              <w:jc w:val="center"/>
              <w:rPr>
                <w:rFonts w:ascii="宋体" w:eastAsia="宋体"/>
                <w:color w:val="auto"/>
                <w:sz w:val="18"/>
              </w:rPr>
            </w:pPr>
            <w:r>
              <w:rPr>
                <w:rFonts w:ascii="宋体" w:hAnsi="宋体" w:eastAsia="宋体"/>
                <w:b w:val="0"/>
                <w:color w:val="auto"/>
                <w:sz w:val="18"/>
              </w:rPr>
              <w:t>1</w:t>
            </w:r>
          </w:p>
        </w:tc>
        <w:tc>
          <w:tcPr>
            <w:tcW w:w="4232" w:type="dxa"/>
            <w:shd w:val="clear" w:color="auto" w:fill="auto"/>
            <w:noWrap w:val="0"/>
            <w:tcMar>
              <w:top w:w="-1" w:type="dxa"/>
              <w:left w:w="-1" w:type="dxa"/>
              <w:bottom w:w="-1" w:type="dxa"/>
              <w:right w:w="-1" w:type="dxa"/>
            </w:tcMar>
            <w:vAlign w:val="center"/>
          </w:tcPr>
          <w:p w14:paraId="7BEF5274">
            <w:pPr>
              <w:snapToGrid w:val="0"/>
              <w:spacing w:line="240" w:lineRule="auto"/>
              <w:ind w:left="0" w:leftChars="0" w:right="0" w:rightChars="0" w:firstLine="0" w:firstLineChars="0"/>
              <w:jc w:val="left"/>
              <w:rPr>
                <w:rFonts w:ascii="宋体" w:eastAsia="宋体"/>
                <w:color w:val="auto"/>
                <w:sz w:val="18"/>
              </w:rPr>
            </w:pPr>
            <w:r>
              <w:rPr>
                <w:rFonts w:hint="eastAsia" w:ascii="宋体" w:hAnsi="宋体" w:eastAsia="宋体"/>
                <w:b w:val="0"/>
                <w:color w:val="auto"/>
                <w:sz w:val="18"/>
              </w:rPr>
              <w:t>心电诊断中心系统平台软件</w:t>
            </w:r>
          </w:p>
        </w:tc>
        <w:tc>
          <w:tcPr>
            <w:tcW w:w="729" w:type="dxa"/>
            <w:shd w:val="clear" w:color="auto" w:fill="auto"/>
            <w:noWrap w:val="0"/>
            <w:tcMar>
              <w:top w:w="-1" w:type="dxa"/>
              <w:left w:w="-1" w:type="dxa"/>
              <w:bottom w:w="-1" w:type="dxa"/>
              <w:right w:w="-1" w:type="dxa"/>
            </w:tcMar>
            <w:vAlign w:val="center"/>
          </w:tcPr>
          <w:p w14:paraId="400EAE38">
            <w:pPr>
              <w:snapToGrid w:val="0"/>
              <w:spacing w:line="240" w:lineRule="auto"/>
              <w:ind w:left="0" w:leftChars="0" w:right="0" w:rightChars="0" w:firstLine="0" w:firstLineChars="0"/>
              <w:jc w:val="center"/>
              <w:rPr>
                <w:rFonts w:ascii="宋体" w:eastAsia="宋体"/>
                <w:color w:val="auto"/>
                <w:sz w:val="18"/>
              </w:rPr>
            </w:pPr>
            <w:r>
              <w:rPr>
                <w:rFonts w:ascii="宋体" w:hAnsi="宋体" w:eastAsia="宋体"/>
                <w:b w:val="0"/>
                <w:color w:val="auto"/>
                <w:sz w:val="18"/>
              </w:rPr>
              <w:t>1</w:t>
            </w:r>
          </w:p>
        </w:tc>
        <w:tc>
          <w:tcPr>
            <w:tcW w:w="729" w:type="dxa"/>
            <w:shd w:val="clear" w:color="auto" w:fill="auto"/>
            <w:noWrap w:val="0"/>
            <w:tcMar>
              <w:top w:w="-1" w:type="dxa"/>
              <w:left w:w="-1" w:type="dxa"/>
              <w:bottom w:w="-1" w:type="dxa"/>
              <w:right w:w="-1" w:type="dxa"/>
            </w:tcMar>
            <w:vAlign w:val="center"/>
          </w:tcPr>
          <w:p w14:paraId="26715F1C">
            <w:pPr>
              <w:snapToGrid w:val="0"/>
              <w:spacing w:line="240" w:lineRule="auto"/>
              <w:ind w:left="0" w:leftChars="0" w:right="0" w:rightChars="0" w:firstLine="0" w:firstLineChars="0"/>
              <w:jc w:val="center"/>
              <w:rPr>
                <w:rFonts w:ascii="宋体" w:eastAsia="宋体"/>
                <w:color w:val="auto"/>
                <w:sz w:val="18"/>
              </w:rPr>
            </w:pPr>
            <w:r>
              <w:rPr>
                <w:rFonts w:hint="eastAsia" w:ascii="宋体" w:hAnsi="宋体" w:eastAsia="宋体"/>
                <w:b w:val="0"/>
                <w:color w:val="auto"/>
                <w:sz w:val="18"/>
              </w:rPr>
              <w:t>项</w:t>
            </w:r>
          </w:p>
        </w:tc>
        <w:tc>
          <w:tcPr>
            <w:tcW w:w="2281" w:type="dxa"/>
            <w:shd w:val="clear" w:color="auto" w:fill="auto"/>
            <w:noWrap w:val="0"/>
            <w:tcMar>
              <w:top w:w="-1" w:type="dxa"/>
              <w:left w:w="-1" w:type="dxa"/>
              <w:bottom w:w="-1" w:type="dxa"/>
              <w:right w:w="-1" w:type="dxa"/>
            </w:tcMar>
            <w:vAlign w:val="center"/>
          </w:tcPr>
          <w:p w14:paraId="6239FA33">
            <w:pPr>
              <w:snapToGrid w:val="0"/>
              <w:spacing w:line="240" w:lineRule="auto"/>
              <w:ind w:left="0" w:leftChars="0" w:right="0" w:rightChars="0" w:firstLine="0" w:firstLineChars="0"/>
              <w:jc w:val="center"/>
              <w:rPr>
                <w:rFonts w:ascii="宋体" w:eastAsia="宋体"/>
                <w:color w:val="auto"/>
                <w:sz w:val="18"/>
              </w:rPr>
            </w:pPr>
            <w:r>
              <w:rPr>
                <w:rFonts w:hint="eastAsia" w:ascii="宋体" w:hAnsi="宋体" w:eastAsia="宋体"/>
                <w:b w:val="0"/>
                <w:color w:val="auto"/>
                <w:sz w:val="18"/>
              </w:rPr>
              <w:t>含区域平台接入模块</w:t>
            </w:r>
          </w:p>
        </w:tc>
      </w:tr>
      <w:tr w14:paraId="72C8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28" w:type="dxa"/>
            <w:shd w:val="clear" w:color="auto" w:fill="auto"/>
            <w:noWrap w:val="0"/>
            <w:tcMar>
              <w:top w:w="-1" w:type="dxa"/>
              <w:left w:w="-1" w:type="dxa"/>
              <w:bottom w:w="-1" w:type="dxa"/>
              <w:right w:w="-1" w:type="dxa"/>
            </w:tcMar>
            <w:vAlign w:val="center"/>
          </w:tcPr>
          <w:p w14:paraId="468311E1">
            <w:pPr>
              <w:snapToGrid w:val="0"/>
              <w:spacing w:line="240" w:lineRule="auto"/>
              <w:ind w:left="0" w:leftChars="0" w:right="0" w:rightChars="0" w:firstLine="0" w:firstLineChars="0"/>
              <w:jc w:val="center"/>
              <w:rPr>
                <w:rFonts w:ascii="宋体" w:eastAsia="宋体"/>
                <w:color w:val="auto"/>
                <w:sz w:val="18"/>
              </w:rPr>
            </w:pPr>
            <w:r>
              <w:rPr>
                <w:rFonts w:ascii="宋体" w:hAnsi="宋体" w:eastAsia="宋体"/>
                <w:b w:val="0"/>
                <w:color w:val="auto"/>
                <w:sz w:val="18"/>
              </w:rPr>
              <w:t>2</w:t>
            </w:r>
          </w:p>
        </w:tc>
        <w:tc>
          <w:tcPr>
            <w:tcW w:w="4232" w:type="dxa"/>
            <w:shd w:val="clear" w:color="auto" w:fill="auto"/>
            <w:noWrap w:val="0"/>
            <w:tcMar>
              <w:top w:w="-1" w:type="dxa"/>
              <w:left w:w="-1" w:type="dxa"/>
              <w:bottom w:w="-1" w:type="dxa"/>
              <w:right w:w="-1" w:type="dxa"/>
            </w:tcMar>
            <w:vAlign w:val="center"/>
          </w:tcPr>
          <w:p w14:paraId="3997670E">
            <w:pPr>
              <w:snapToGrid w:val="0"/>
              <w:spacing w:line="240" w:lineRule="auto"/>
              <w:ind w:left="0" w:leftChars="0" w:right="0" w:rightChars="0" w:firstLine="0" w:firstLineChars="0"/>
              <w:jc w:val="left"/>
              <w:rPr>
                <w:rFonts w:ascii="宋体" w:eastAsia="宋体"/>
                <w:color w:val="auto"/>
                <w:sz w:val="18"/>
              </w:rPr>
            </w:pPr>
            <w:r>
              <w:rPr>
                <w:rFonts w:hint="eastAsia" w:ascii="宋体" w:hAnsi="宋体" w:eastAsia="宋体"/>
                <w:b w:val="0"/>
                <w:color w:val="auto"/>
                <w:sz w:val="18"/>
              </w:rPr>
              <w:t>十二导同步心电分析系统（心电工作站）</w:t>
            </w:r>
          </w:p>
        </w:tc>
        <w:tc>
          <w:tcPr>
            <w:tcW w:w="729" w:type="dxa"/>
            <w:shd w:val="clear" w:color="auto" w:fill="auto"/>
            <w:noWrap w:val="0"/>
            <w:tcMar>
              <w:top w:w="-1" w:type="dxa"/>
              <w:left w:w="-1" w:type="dxa"/>
              <w:bottom w:w="-1" w:type="dxa"/>
              <w:right w:w="-1" w:type="dxa"/>
            </w:tcMar>
            <w:vAlign w:val="center"/>
          </w:tcPr>
          <w:p w14:paraId="4FC868B7">
            <w:pPr>
              <w:snapToGrid w:val="0"/>
              <w:spacing w:line="240" w:lineRule="auto"/>
              <w:ind w:left="0" w:leftChars="0" w:right="0" w:rightChars="0" w:firstLine="0" w:firstLineChars="0"/>
              <w:jc w:val="center"/>
              <w:rPr>
                <w:rFonts w:ascii="宋体" w:eastAsia="宋体"/>
                <w:color w:val="auto"/>
                <w:sz w:val="18"/>
              </w:rPr>
            </w:pPr>
            <w:r>
              <w:rPr>
                <w:rFonts w:ascii="宋体" w:hAnsi="宋体" w:eastAsia="宋体"/>
                <w:b w:val="0"/>
                <w:color w:val="auto"/>
                <w:sz w:val="18"/>
              </w:rPr>
              <w:t>2</w:t>
            </w:r>
          </w:p>
        </w:tc>
        <w:tc>
          <w:tcPr>
            <w:tcW w:w="729" w:type="dxa"/>
            <w:shd w:val="clear" w:color="auto" w:fill="auto"/>
            <w:noWrap w:val="0"/>
            <w:tcMar>
              <w:top w:w="-1" w:type="dxa"/>
              <w:left w:w="-1" w:type="dxa"/>
              <w:bottom w:w="-1" w:type="dxa"/>
              <w:right w:w="-1" w:type="dxa"/>
            </w:tcMar>
            <w:vAlign w:val="center"/>
          </w:tcPr>
          <w:p w14:paraId="04752526">
            <w:pPr>
              <w:snapToGrid w:val="0"/>
              <w:spacing w:line="240" w:lineRule="auto"/>
              <w:ind w:left="0" w:leftChars="0" w:right="0" w:rightChars="0" w:firstLine="0" w:firstLineChars="0"/>
              <w:jc w:val="center"/>
              <w:rPr>
                <w:rFonts w:ascii="宋体" w:eastAsia="宋体"/>
                <w:color w:val="auto"/>
                <w:sz w:val="18"/>
              </w:rPr>
            </w:pPr>
            <w:r>
              <w:rPr>
                <w:rFonts w:hint="eastAsia" w:ascii="宋体" w:hAnsi="宋体" w:eastAsia="宋体"/>
                <w:b w:val="0"/>
                <w:color w:val="auto"/>
                <w:sz w:val="18"/>
              </w:rPr>
              <w:t>台</w:t>
            </w:r>
          </w:p>
        </w:tc>
        <w:tc>
          <w:tcPr>
            <w:tcW w:w="2281" w:type="dxa"/>
            <w:shd w:val="clear" w:color="auto" w:fill="auto"/>
            <w:noWrap w:val="0"/>
            <w:tcMar>
              <w:top w:w="-1" w:type="dxa"/>
              <w:left w:w="-1" w:type="dxa"/>
              <w:bottom w:w="-1" w:type="dxa"/>
              <w:right w:w="-1" w:type="dxa"/>
            </w:tcMar>
            <w:vAlign w:val="center"/>
          </w:tcPr>
          <w:p w14:paraId="73206FBA">
            <w:pPr>
              <w:snapToGrid w:val="0"/>
              <w:spacing w:line="240" w:lineRule="auto"/>
              <w:ind w:left="0" w:leftChars="0" w:right="0" w:rightChars="0" w:firstLine="0" w:firstLineChars="0"/>
              <w:jc w:val="center"/>
              <w:rPr>
                <w:rFonts w:ascii="宋体" w:eastAsia="宋体"/>
                <w:color w:val="auto"/>
                <w:sz w:val="18"/>
              </w:rPr>
            </w:pPr>
            <w:r>
              <w:rPr>
                <w:rFonts w:hint="eastAsia" w:ascii="宋体" w:hAnsi="宋体" w:eastAsia="宋体"/>
                <w:b w:val="0"/>
                <w:color w:val="auto"/>
                <w:sz w:val="18"/>
              </w:rPr>
              <w:t>心电图室(2)</w:t>
            </w:r>
          </w:p>
        </w:tc>
      </w:tr>
      <w:tr w14:paraId="4ABC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28" w:type="dxa"/>
            <w:shd w:val="clear" w:color="auto" w:fill="auto"/>
            <w:noWrap w:val="0"/>
            <w:tcMar>
              <w:top w:w="-1" w:type="dxa"/>
              <w:left w:w="-1" w:type="dxa"/>
              <w:bottom w:w="-1" w:type="dxa"/>
              <w:right w:w="-1" w:type="dxa"/>
            </w:tcMar>
            <w:vAlign w:val="center"/>
          </w:tcPr>
          <w:p w14:paraId="33D90B97">
            <w:pPr>
              <w:snapToGrid w:val="0"/>
              <w:spacing w:line="240" w:lineRule="auto"/>
              <w:ind w:left="0" w:leftChars="0" w:right="0" w:rightChars="0" w:firstLine="0" w:firstLineChars="0"/>
              <w:jc w:val="center"/>
              <w:rPr>
                <w:rFonts w:ascii="宋体" w:eastAsia="宋体"/>
                <w:color w:val="auto"/>
                <w:sz w:val="18"/>
              </w:rPr>
            </w:pPr>
            <w:r>
              <w:rPr>
                <w:rFonts w:ascii="宋体" w:hAnsi="宋体" w:eastAsia="宋体"/>
                <w:b w:val="0"/>
                <w:color w:val="auto"/>
                <w:sz w:val="18"/>
              </w:rPr>
              <w:t>3</w:t>
            </w:r>
          </w:p>
        </w:tc>
        <w:tc>
          <w:tcPr>
            <w:tcW w:w="4232" w:type="dxa"/>
            <w:shd w:val="clear" w:color="auto" w:fill="auto"/>
            <w:noWrap w:val="0"/>
            <w:tcMar>
              <w:top w:w="-1" w:type="dxa"/>
              <w:left w:w="-1" w:type="dxa"/>
              <w:bottom w:w="-1" w:type="dxa"/>
              <w:right w:w="-1" w:type="dxa"/>
            </w:tcMar>
            <w:vAlign w:val="center"/>
          </w:tcPr>
          <w:p w14:paraId="57B95402">
            <w:pPr>
              <w:snapToGrid w:val="0"/>
              <w:spacing w:line="240" w:lineRule="auto"/>
              <w:ind w:left="0" w:leftChars="0" w:right="0" w:rightChars="0" w:firstLine="0" w:firstLineChars="0"/>
              <w:jc w:val="left"/>
              <w:rPr>
                <w:rFonts w:ascii="宋体" w:eastAsia="宋体"/>
                <w:color w:val="auto"/>
                <w:sz w:val="18"/>
              </w:rPr>
            </w:pPr>
            <w:r>
              <w:rPr>
                <w:rFonts w:hint="eastAsia" w:ascii="宋体" w:hAnsi="宋体" w:eastAsia="宋体"/>
                <w:b w:val="0"/>
                <w:color w:val="auto"/>
                <w:sz w:val="18"/>
              </w:rPr>
              <w:t>数字心电图机</w:t>
            </w:r>
          </w:p>
        </w:tc>
        <w:tc>
          <w:tcPr>
            <w:tcW w:w="729" w:type="dxa"/>
            <w:shd w:val="clear" w:color="auto" w:fill="auto"/>
            <w:noWrap w:val="0"/>
            <w:tcMar>
              <w:top w:w="-1" w:type="dxa"/>
              <w:left w:w="-1" w:type="dxa"/>
              <w:bottom w:w="-1" w:type="dxa"/>
              <w:right w:w="-1" w:type="dxa"/>
            </w:tcMar>
            <w:vAlign w:val="center"/>
          </w:tcPr>
          <w:p w14:paraId="40B8A6A2">
            <w:pPr>
              <w:snapToGrid w:val="0"/>
              <w:spacing w:line="240" w:lineRule="auto"/>
              <w:ind w:left="0" w:leftChars="0" w:right="0" w:rightChars="0" w:firstLine="0" w:firstLineChars="0"/>
              <w:jc w:val="center"/>
              <w:rPr>
                <w:rFonts w:ascii="宋体" w:eastAsia="宋体"/>
                <w:color w:val="auto"/>
                <w:sz w:val="18"/>
              </w:rPr>
            </w:pPr>
            <w:r>
              <w:rPr>
                <w:rFonts w:ascii="宋体" w:hAnsi="宋体" w:eastAsia="宋体"/>
                <w:b w:val="0"/>
                <w:color w:val="auto"/>
                <w:sz w:val="18"/>
              </w:rPr>
              <w:t>4</w:t>
            </w:r>
          </w:p>
        </w:tc>
        <w:tc>
          <w:tcPr>
            <w:tcW w:w="729" w:type="dxa"/>
            <w:shd w:val="clear" w:color="auto" w:fill="auto"/>
            <w:noWrap w:val="0"/>
            <w:tcMar>
              <w:top w:w="-1" w:type="dxa"/>
              <w:left w:w="-1" w:type="dxa"/>
              <w:bottom w:w="-1" w:type="dxa"/>
              <w:right w:w="-1" w:type="dxa"/>
            </w:tcMar>
            <w:vAlign w:val="center"/>
          </w:tcPr>
          <w:p w14:paraId="6C435C15">
            <w:pPr>
              <w:snapToGrid w:val="0"/>
              <w:spacing w:line="240" w:lineRule="auto"/>
              <w:ind w:left="0" w:leftChars="0" w:right="0" w:rightChars="0" w:firstLine="0" w:firstLineChars="0"/>
              <w:jc w:val="center"/>
              <w:rPr>
                <w:rFonts w:ascii="宋体" w:eastAsia="宋体"/>
                <w:color w:val="auto"/>
                <w:sz w:val="18"/>
              </w:rPr>
            </w:pPr>
            <w:r>
              <w:rPr>
                <w:rFonts w:hint="eastAsia" w:ascii="宋体" w:hAnsi="宋体" w:eastAsia="宋体"/>
                <w:b w:val="0"/>
                <w:color w:val="auto"/>
                <w:sz w:val="18"/>
              </w:rPr>
              <w:t>台</w:t>
            </w:r>
          </w:p>
        </w:tc>
        <w:tc>
          <w:tcPr>
            <w:tcW w:w="2281" w:type="dxa"/>
            <w:shd w:val="clear" w:color="auto" w:fill="auto"/>
            <w:noWrap w:val="0"/>
            <w:tcMar>
              <w:top w:w="-1" w:type="dxa"/>
              <w:left w:w="-1" w:type="dxa"/>
              <w:bottom w:w="-1" w:type="dxa"/>
              <w:right w:w="-1" w:type="dxa"/>
            </w:tcMar>
            <w:vAlign w:val="center"/>
          </w:tcPr>
          <w:p w14:paraId="722FBCDD">
            <w:pPr>
              <w:snapToGrid w:val="0"/>
              <w:spacing w:line="240" w:lineRule="auto"/>
              <w:ind w:left="0" w:leftChars="0" w:right="0" w:rightChars="0" w:firstLine="0" w:firstLineChars="0"/>
              <w:jc w:val="center"/>
              <w:rPr>
                <w:rFonts w:ascii="宋体" w:eastAsia="宋体"/>
                <w:color w:val="auto"/>
                <w:sz w:val="18"/>
              </w:rPr>
            </w:pPr>
            <w:r>
              <w:rPr>
                <w:rFonts w:hint="eastAsia" w:ascii="宋体" w:hAnsi="宋体" w:eastAsia="宋体"/>
                <w:b w:val="0"/>
                <w:color w:val="auto"/>
                <w:sz w:val="18"/>
              </w:rPr>
              <w:t>含移动通信模块</w:t>
            </w:r>
          </w:p>
        </w:tc>
      </w:tr>
      <w:tr w14:paraId="1CEC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28" w:type="dxa"/>
            <w:shd w:val="clear" w:color="auto" w:fill="auto"/>
            <w:noWrap w:val="0"/>
            <w:tcMar>
              <w:top w:w="-1" w:type="dxa"/>
              <w:left w:w="-1" w:type="dxa"/>
              <w:bottom w:w="-1" w:type="dxa"/>
              <w:right w:w="-1" w:type="dxa"/>
            </w:tcMar>
            <w:vAlign w:val="center"/>
          </w:tcPr>
          <w:p w14:paraId="4E7B656C">
            <w:pPr>
              <w:snapToGrid w:val="0"/>
              <w:spacing w:line="240" w:lineRule="auto"/>
              <w:ind w:left="0" w:leftChars="0" w:right="0" w:rightChars="0" w:firstLine="0" w:firstLineChars="0"/>
              <w:jc w:val="center"/>
              <w:rPr>
                <w:rFonts w:ascii="宋体" w:eastAsia="宋体"/>
                <w:color w:val="auto"/>
                <w:sz w:val="18"/>
              </w:rPr>
            </w:pPr>
            <w:r>
              <w:rPr>
                <w:rFonts w:ascii="宋体" w:hAnsi="宋体" w:eastAsia="宋体"/>
                <w:b w:val="0"/>
                <w:color w:val="auto"/>
                <w:sz w:val="18"/>
              </w:rPr>
              <w:t>4</w:t>
            </w:r>
          </w:p>
        </w:tc>
        <w:tc>
          <w:tcPr>
            <w:tcW w:w="4232" w:type="dxa"/>
            <w:shd w:val="clear" w:color="auto" w:fill="auto"/>
            <w:noWrap w:val="0"/>
            <w:tcMar>
              <w:top w:w="-1" w:type="dxa"/>
              <w:left w:w="-1" w:type="dxa"/>
              <w:bottom w:w="-1" w:type="dxa"/>
              <w:right w:w="-1" w:type="dxa"/>
            </w:tcMar>
            <w:vAlign w:val="center"/>
          </w:tcPr>
          <w:p w14:paraId="1D792557">
            <w:pPr>
              <w:snapToGrid w:val="0"/>
              <w:spacing w:line="240" w:lineRule="auto"/>
              <w:ind w:left="0" w:leftChars="0" w:right="0" w:rightChars="0" w:firstLine="0" w:firstLineChars="0"/>
              <w:jc w:val="left"/>
              <w:rPr>
                <w:rFonts w:ascii="宋体" w:eastAsia="宋体"/>
                <w:color w:val="auto"/>
                <w:sz w:val="18"/>
              </w:rPr>
            </w:pPr>
            <w:r>
              <w:rPr>
                <w:rFonts w:hint="eastAsia" w:ascii="宋体" w:hAnsi="宋体" w:eastAsia="宋体"/>
                <w:b w:val="0"/>
                <w:color w:val="auto"/>
                <w:sz w:val="18"/>
              </w:rPr>
              <w:t>移动通信数据卡（2年服务费）</w:t>
            </w:r>
          </w:p>
        </w:tc>
        <w:tc>
          <w:tcPr>
            <w:tcW w:w="729" w:type="dxa"/>
            <w:shd w:val="clear" w:color="auto" w:fill="auto"/>
            <w:noWrap w:val="0"/>
            <w:tcMar>
              <w:top w:w="-1" w:type="dxa"/>
              <w:left w:w="-1" w:type="dxa"/>
              <w:bottom w:w="-1" w:type="dxa"/>
              <w:right w:w="-1" w:type="dxa"/>
            </w:tcMar>
            <w:vAlign w:val="center"/>
          </w:tcPr>
          <w:p w14:paraId="42C19346">
            <w:pPr>
              <w:snapToGrid w:val="0"/>
              <w:spacing w:line="240" w:lineRule="auto"/>
              <w:ind w:left="0" w:leftChars="0" w:right="0" w:rightChars="0" w:firstLine="0" w:firstLineChars="0"/>
              <w:jc w:val="center"/>
              <w:rPr>
                <w:rFonts w:ascii="宋体" w:eastAsia="宋体"/>
                <w:color w:val="auto"/>
                <w:sz w:val="18"/>
              </w:rPr>
            </w:pPr>
            <w:r>
              <w:rPr>
                <w:rFonts w:ascii="宋体" w:hAnsi="宋体" w:eastAsia="宋体"/>
                <w:b w:val="0"/>
                <w:color w:val="auto"/>
                <w:sz w:val="18"/>
              </w:rPr>
              <w:t>4</w:t>
            </w:r>
          </w:p>
        </w:tc>
        <w:tc>
          <w:tcPr>
            <w:tcW w:w="729" w:type="dxa"/>
            <w:shd w:val="clear" w:color="auto" w:fill="auto"/>
            <w:noWrap w:val="0"/>
            <w:tcMar>
              <w:top w:w="-1" w:type="dxa"/>
              <w:left w:w="-1" w:type="dxa"/>
              <w:bottom w:w="-1" w:type="dxa"/>
              <w:right w:w="-1" w:type="dxa"/>
            </w:tcMar>
            <w:vAlign w:val="center"/>
          </w:tcPr>
          <w:p w14:paraId="2126FE95">
            <w:pPr>
              <w:snapToGrid w:val="0"/>
              <w:spacing w:line="240" w:lineRule="auto"/>
              <w:ind w:left="0" w:leftChars="0" w:right="0" w:rightChars="0" w:firstLine="0" w:firstLineChars="0"/>
              <w:jc w:val="center"/>
              <w:rPr>
                <w:rFonts w:ascii="宋体" w:eastAsia="宋体"/>
                <w:color w:val="auto"/>
                <w:sz w:val="18"/>
              </w:rPr>
            </w:pPr>
            <w:r>
              <w:rPr>
                <w:rFonts w:hint="eastAsia" w:ascii="宋体" w:hAnsi="宋体" w:eastAsia="宋体"/>
                <w:b w:val="0"/>
                <w:color w:val="auto"/>
                <w:sz w:val="18"/>
              </w:rPr>
              <w:t>张</w:t>
            </w:r>
          </w:p>
        </w:tc>
        <w:tc>
          <w:tcPr>
            <w:tcW w:w="2281" w:type="dxa"/>
            <w:shd w:val="clear" w:color="auto" w:fill="auto"/>
            <w:noWrap w:val="0"/>
            <w:tcMar>
              <w:top w:w="-1" w:type="dxa"/>
              <w:left w:w="-1" w:type="dxa"/>
              <w:bottom w:w="-1" w:type="dxa"/>
              <w:right w:w="-1" w:type="dxa"/>
            </w:tcMar>
            <w:vAlign w:val="center"/>
          </w:tcPr>
          <w:p w14:paraId="73BF2691">
            <w:pPr>
              <w:snapToGrid w:val="0"/>
              <w:spacing w:line="240" w:lineRule="auto"/>
              <w:ind w:left="0" w:leftChars="0" w:right="0" w:rightChars="0" w:firstLine="0" w:firstLineChars="0"/>
              <w:jc w:val="center"/>
              <w:rPr>
                <w:rFonts w:ascii="宋体" w:eastAsia="宋体"/>
                <w:color w:val="auto"/>
                <w:sz w:val="18"/>
              </w:rPr>
            </w:pPr>
            <w:r>
              <w:rPr>
                <w:rFonts w:hint="eastAsia" w:ascii="宋体" w:hAnsi="宋体" w:eastAsia="宋体"/>
                <w:b w:val="0"/>
                <w:color w:val="auto"/>
                <w:sz w:val="18"/>
              </w:rPr>
              <w:t>每台心电图机配1张</w:t>
            </w:r>
          </w:p>
        </w:tc>
      </w:tr>
      <w:tr w14:paraId="3F30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28" w:type="dxa"/>
            <w:shd w:val="clear" w:color="auto" w:fill="auto"/>
            <w:noWrap w:val="0"/>
            <w:tcMar>
              <w:top w:w="-1" w:type="dxa"/>
              <w:left w:w="-1" w:type="dxa"/>
              <w:bottom w:w="-1" w:type="dxa"/>
              <w:right w:w="-1" w:type="dxa"/>
            </w:tcMar>
            <w:vAlign w:val="center"/>
          </w:tcPr>
          <w:p w14:paraId="4CC706F9">
            <w:pPr>
              <w:snapToGrid w:val="0"/>
              <w:spacing w:line="240" w:lineRule="auto"/>
              <w:ind w:left="0" w:leftChars="0" w:right="0" w:rightChars="0" w:firstLine="0" w:firstLineChars="0"/>
              <w:jc w:val="center"/>
              <w:rPr>
                <w:rFonts w:ascii="宋体" w:eastAsia="宋体"/>
                <w:color w:val="auto"/>
                <w:sz w:val="18"/>
              </w:rPr>
            </w:pPr>
            <w:r>
              <w:rPr>
                <w:rFonts w:ascii="宋体" w:hAnsi="宋体" w:eastAsia="宋体"/>
                <w:b w:val="0"/>
                <w:color w:val="auto"/>
                <w:sz w:val="18"/>
              </w:rPr>
              <w:t>5</w:t>
            </w:r>
          </w:p>
        </w:tc>
        <w:tc>
          <w:tcPr>
            <w:tcW w:w="4232" w:type="dxa"/>
            <w:shd w:val="clear" w:color="auto" w:fill="auto"/>
            <w:noWrap w:val="0"/>
            <w:tcMar>
              <w:top w:w="-1" w:type="dxa"/>
              <w:left w:w="-1" w:type="dxa"/>
              <w:bottom w:w="-1" w:type="dxa"/>
              <w:right w:w="-1" w:type="dxa"/>
            </w:tcMar>
            <w:vAlign w:val="center"/>
          </w:tcPr>
          <w:p w14:paraId="3BBDF0D1">
            <w:pPr>
              <w:snapToGrid w:val="0"/>
              <w:spacing w:line="240" w:lineRule="auto"/>
              <w:ind w:left="0" w:leftChars="0" w:right="0" w:rightChars="0" w:firstLine="0" w:firstLineChars="0"/>
              <w:jc w:val="left"/>
              <w:rPr>
                <w:rFonts w:ascii="宋体" w:eastAsia="宋体"/>
                <w:color w:val="auto"/>
                <w:sz w:val="18"/>
              </w:rPr>
            </w:pPr>
            <w:r>
              <w:rPr>
                <w:rFonts w:hint="eastAsia" w:ascii="宋体" w:hAnsi="宋体" w:eastAsia="宋体"/>
                <w:b w:val="0"/>
                <w:color w:val="auto"/>
                <w:sz w:val="18"/>
              </w:rPr>
              <w:t>体检系统接口开发</w:t>
            </w:r>
          </w:p>
        </w:tc>
        <w:tc>
          <w:tcPr>
            <w:tcW w:w="729" w:type="dxa"/>
            <w:shd w:val="clear" w:color="auto" w:fill="auto"/>
            <w:noWrap w:val="0"/>
            <w:tcMar>
              <w:top w:w="-1" w:type="dxa"/>
              <w:left w:w="-1" w:type="dxa"/>
              <w:bottom w:w="-1" w:type="dxa"/>
              <w:right w:w="-1" w:type="dxa"/>
            </w:tcMar>
            <w:vAlign w:val="center"/>
          </w:tcPr>
          <w:p w14:paraId="2A7FCD7E">
            <w:pPr>
              <w:snapToGrid w:val="0"/>
              <w:spacing w:line="240" w:lineRule="auto"/>
              <w:ind w:left="0" w:leftChars="0" w:right="0" w:rightChars="0" w:firstLine="0" w:firstLineChars="0"/>
              <w:jc w:val="center"/>
              <w:rPr>
                <w:rFonts w:ascii="宋体" w:eastAsia="宋体"/>
                <w:color w:val="auto"/>
                <w:sz w:val="18"/>
              </w:rPr>
            </w:pPr>
            <w:r>
              <w:rPr>
                <w:rFonts w:ascii="宋体" w:hAnsi="宋体" w:eastAsia="宋体"/>
                <w:b w:val="0"/>
                <w:color w:val="auto"/>
                <w:sz w:val="18"/>
              </w:rPr>
              <w:t>1</w:t>
            </w:r>
          </w:p>
        </w:tc>
        <w:tc>
          <w:tcPr>
            <w:tcW w:w="729" w:type="dxa"/>
            <w:shd w:val="clear" w:color="auto" w:fill="auto"/>
            <w:noWrap w:val="0"/>
            <w:tcMar>
              <w:top w:w="-1" w:type="dxa"/>
              <w:left w:w="-1" w:type="dxa"/>
              <w:bottom w:w="-1" w:type="dxa"/>
              <w:right w:w="-1" w:type="dxa"/>
            </w:tcMar>
            <w:vAlign w:val="center"/>
          </w:tcPr>
          <w:p w14:paraId="44AAE128">
            <w:pPr>
              <w:snapToGrid w:val="0"/>
              <w:spacing w:line="240" w:lineRule="auto"/>
              <w:ind w:left="0" w:leftChars="0" w:right="0" w:rightChars="0" w:firstLine="0" w:firstLineChars="0"/>
              <w:jc w:val="center"/>
              <w:rPr>
                <w:rFonts w:ascii="宋体" w:eastAsia="宋体"/>
                <w:color w:val="auto"/>
                <w:sz w:val="18"/>
              </w:rPr>
            </w:pPr>
            <w:r>
              <w:rPr>
                <w:rFonts w:hint="eastAsia" w:ascii="宋体" w:hAnsi="宋体" w:eastAsia="宋体"/>
                <w:b w:val="0"/>
                <w:color w:val="auto"/>
                <w:sz w:val="18"/>
              </w:rPr>
              <w:t>套</w:t>
            </w:r>
          </w:p>
        </w:tc>
        <w:tc>
          <w:tcPr>
            <w:tcW w:w="2281" w:type="dxa"/>
            <w:shd w:val="clear" w:color="auto" w:fill="auto"/>
            <w:noWrap w:val="0"/>
            <w:tcMar>
              <w:top w:w="-1" w:type="dxa"/>
              <w:left w:w="-1" w:type="dxa"/>
              <w:bottom w:w="-1" w:type="dxa"/>
              <w:right w:w="-1" w:type="dxa"/>
            </w:tcMar>
            <w:vAlign w:val="center"/>
          </w:tcPr>
          <w:p w14:paraId="2A169884">
            <w:pPr>
              <w:snapToGrid w:val="0"/>
              <w:spacing w:line="240" w:lineRule="auto"/>
              <w:ind w:left="0" w:leftChars="0" w:right="0" w:rightChars="0" w:firstLine="0" w:firstLineChars="0"/>
              <w:jc w:val="center"/>
              <w:rPr>
                <w:rFonts w:ascii="宋体" w:eastAsia="宋体"/>
                <w:color w:val="auto"/>
                <w:sz w:val="18"/>
              </w:rPr>
            </w:pPr>
            <w:r>
              <w:rPr>
                <w:rFonts w:hint="eastAsia" w:ascii="宋体" w:hAnsi="宋体" w:eastAsia="宋体"/>
                <w:b w:val="0"/>
                <w:color w:val="auto"/>
                <w:sz w:val="18"/>
              </w:rPr>
              <w:t>与现有体检系统对接</w:t>
            </w:r>
          </w:p>
        </w:tc>
      </w:tr>
    </w:tbl>
    <w:p w14:paraId="746CA9A3">
      <w:pPr>
        <w:rPr>
          <w:color w:val="auto"/>
        </w:rPr>
      </w:pPr>
    </w:p>
    <w:p w14:paraId="7C265B10">
      <w:pPr>
        <w:rPr>
          <w:color w:val="auto"/>
        </w:rPr>
      </w:pPr>
    </w:p>
    <w:sectPr>
      <w:pgSz w:w="12240" w:h="15840"/>
      <w:pgMar w:top="1440" w:right="1800" w:bottom="1440" w:left="1800" w:header="720" w:footer="720" w:gutter="0"/>
      <w:pgBorders>
        <w:top w:val="none" w:sz="0" w:space="0"/>
        <w:left w:val="none" w:sz="0" w:space="0"/>
        <w:bottom w:val="none" w:sz="0" w:space="0"/>
        <w:right w:val="none" w:sz="0" w:space="0"/>
      </w:pgBorders>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空人生" w:date="2026-08-19T11:34:48Z" w:initials="">
    <w:p w14:paraId="68638D2D">
      <w:pPr>
        <w:pStyle w:val="17"/>
        <w:rPr>
          <w:color w:val="FF0000"/>
        </w:rPr>
      </w:pPr>
      <w:r>
        <w:rPr>
          <w:rFonts w:hint="eastAsia"/>
        </w:rPr>
        <w:t>要求截图须显示“浏览器工具栏/标签页标识”，实质上指向特定浏览器品牌及版本。B/S架构的核心特征是Web访问，不应强制要求特定浏览器的视觉特征。部分厂商可能采用基于Chromium内核的桌面应用嵌套浏览器、PWA应用等技术方案，完全符合B/S架构实质但无法满足该截图要求。根据《招标投标法实施条例》第三十二条第（二）项，“设定的技术条件与招标项目的具体特点和实际需要不相适应”属于不合理条件。</w:t>
      </w:r>
      <w:r>
        <w:rPr>
          <w:rFonts w:hint="eastAsia"/>
          <w:color w:val="FF0000"/>
        </w:rPr>
        <w:t>修改建议：（响应文件提供系统浏览器访问截图证明，包括：登录页面、预约分诊、检查管理、静息心电分析诊断、动态心电分析诊断等核心功能页面截图，截图须清晰显示系统访问地址及核心功能界面并加盖响应人公章，否则视为负偏离)。</w:t>
      </w:r>
    </w:p>
  </w:comment>
  <w:comment w:id="1" w:author="70354" w:date="2026-08-20T11:54:34Z" w:initials="7">
    <w:p w14:paraId="6A851332">
      <w:pPr>
        <w:pStyle w:val="17"/>
        <w:rPr>
          <w:rFonts w:hint="default" w:eastAsia="宋体"/>
          <w:lang w:val="en-US" w:eastAsia="zh-CN"/>
        </w:rPr>
      </w:pPr>
      <w:r>
        <w:rPr>
          <w:rFonts w:hint="eastAsia"/>
          <w:lang w:val="en-US" w:eastAsia="zh-CN"/>
        </w:rPr>
        <w:t>按照建议修改</w:t>
      </w:r>
    </w:p>
  </w:comment>
  <w:comment w:id="2" w:author="空人生" w:date="2026-08-19T11:36:14Z" w:initials="">
    <w:p w14:paraId="09EEC0BC">
      <w:pPr>
        <w:pStyle w:val="17"/>
        <w:rPr>
          <w:rFonts w:hint="eastAsia" w:eastAsia="宋体"/>
          <w:color w:val="FF0000"/>
          <w:lang w:eastAsia="zh-CN"/>
        </w:rPr>
      </w:pPr>
      <w:r>
        <w:rPr>
          <w:rFonts w:hint="eastAsia"/>
          <w:lang w:eastAsia="zh-CN"/>
        </w:rPr>
        <w:t>“测试</w:t>
      </w:r>
      <w:r>
        <w:rPr>
          <w:rFonts w:hint="eastAsia"/>
        </w:rPr>
        <w:t>认证报告</w:t>
      </w:r>
      <w:r>
        <w:rPr>
          <w:rFonts w:hint="eastAsia"/>
          <w:lang w:eastAsia="zh-CN"/>
        </w:rPr>
        <w:t>”</w:t>
      </w:r>
      <w:r>
        <w:rPr>
          <w:rFonts w:hint="eastAsia"/>
        </w:rPr>
        <w:t>并非统一标准</w:t>
      </w:r>
      <w:r>
        <w:rPr>
          <w:rFonts w:hint="eastAsia"/>
          <w:lang w:eastAsia="zh-CN"/>
        </w:rPr>
        <w:t>，投标方或第三方出示的报告不能确保真实达标。</w:t>
      </w:r>
      <w:r>
        <w:rPr>
          <w:rFonts w:hint="eastAsia"/>
          <w:color w:val="FF0000"/>
          <w:lang w:eastAsia="zh-CN"/>
        </w:rPr>
        <w:t>修改建议：响应文件需提供以下材料并加盖响应人公章，否则视为负偏离：①国产操作系统及国产数据库的兼容测试报告或认证证书；②投标人出具的承诺函，承诺所投产品支持主流国产操作系统（如麒麟、统信UOS等）及国产数据库（如达梦、人大金仓等），并在合同签订后配合采购人完成兼容性测试验证。</w:t>
      </w:r>
    </w:p>
  </w:comment>
  <w:comment w:id="3" w:author="70354" w:date="2026-08-20T11:54:56Z" w:initials="7">
    <w:p w14:paraId="0DF0F30E">
      <w:pPr>
        <w:pStyle w:val="17"/>
        <w:rPr>
          <w:rFonts w:hint="default" w:eastAsia="宋体"/>
          <w:lang w:val="en-US" w:eastAsia="zh-CN"/>
        </w:rPr>
      </w:pPr>
      <w:r>
        <w:rPr>
          <w:rFonts w:hint="eastAsia"/>
          <w:lang w:val="en-US" w:eastAsia="zh-CN"/>
        </w:rPr>
        <w:t>按照建议修改</w:t>
      </w:r>
    </w:p>
  </w:comment>
  <w:comment w:id="4" w:author="70354" w:date="2026-08-20T12:01:44Z" w:initials="7">
    <w:p w14:paraId="3E4EF5EE">
      <w:pPr>
        <w:pStyle w:val="17"/>
        <w:rPr>
          <w:rFonts w:hint="default" w:eastAsia="宋体"/>
          <w:lang w:val="en-US" w:eastAsia="zh-CN"/>
        </w:rPr>
      </w:pPr>
      <w:r>
        <w:rPr>
          <w:rFonts w:hint="eastAsia"/>
          <w:lang w:val="en-US" w:eastAsia="zh-CN"/>
        </w:rPr>
        <w:t>该功能描述增加脱敏处理要求，符合</w:t>
      </w:r>
      <w:r>
        <w:rPr>
          <w:rFonts w:hint="eastAsia"/>
        </w:rPr>
        <w:t>《个人信息保护法》《数据安全法》及医疗数据管理规定</w:t>
      </w:r>
    </w:p>
  </w:comment>
  <w:comment w:id="5" w:author="空人生" w:date="2026-08-19T14:42:39Z" w:initials="">
    <w:p w14:paraId="7A2C3132">
      <w:pPr>
        <w:pStyle w:val="17"/>
        <w:rPr>
          <w:color w:val="FF0000"/>
        </w:rPr>
      </w:pPr>
      <w:r>
        <w:rPr>
          <w:rFonts w:hint="eastAsia"/>
          <w:color w:val="FF0000"/>
          <w:lang w:eastAsia="zh-CN"/>
        </w:rPr>
        <w:t>高风险：</w:t>
      </w:r>
      <w:r>
        <w:rPr>
          <w:rFonts w:hint="eastAsia"/>
        </w:rPr>
        <w:t xml:space="preserve">"即时通讯工具"若指微信、钉钉等特定商业平台，存在品牌指向性。且医疗数据分享至第三方即时通讯工具存在严重合规安全隐患（违反《个人信息保护法》《数据安全法》及医疗数据管理规定），该功能设计本身不合理，应限定为院内安全协作平台或符合医疗数据安全标准的专用通道。 </w:t>
      </w:r>
      <w:r>
        <w:rPr>
          <w:rFonts w:hint="eastAsia"/>
          <w:color w:val="FF0000"/>
        </w:rPr>
        <w:t>修改建议：二、诊断管理（16）具备安全协作分享功能，可在进行心电图诊断分析时将病历的原始心电波形通过院内安全协作平台或符合医疗数据安全标准的专用通道进行分享，并支持在经授权的移动终端查看心电原始波形，进行走纸速度、灵敏度、显示模式调整及查看心电报告。</w:t>
      </w:r>
    </w:p>
  </w:comment>
  <w:comment w:id="6" w:author="空人生" w:date="2026-08-19T11:50:35Z" w:initials="">
    <w:p w14:paraId="25E2F8B9">
      <w:pPr>
        <w:pStyle w:val="17"/>
        <w:rPr>
          <w:rFonts w:hint="default" w:eastAsia="宋体"/>
          <w:lang w:val="en-US" w:eastAsia="zh-CN"/>
        </w:rPr>
      </w:pPr>
      <w:r>
        <w:rPr>
          <w:rFonts w:hint="eastAsia"/>
          <w:color w:val="FF0000"/>
        </w:rPr>
        <w:t>高风险</w:t>
      </w:r>
      <w:r>
        <w:rPr>
          <w:rFonts w:hint="eastAsia"/>
          <w:color w:val="FF0000"/>
          <w:lang w:eastAsia="zh-CN"/>
        </w:rPr>
        <w:t>：</w:t>
      </w:r>
      <w:r>
        <w:rPr>
          <w:rFonts w:hint="eastAsia"/>
        </w:rPr>
        <w:t>输入阻抗≥110MΩ为特定品牌型号参数（如日本光电、福田等部分高端机型为110MΩ或120MΩ，而多数主流品牌为≥100MΩ）。结合同条款中8.1十二导同步心电分析系统第（2）项输入阻抗仅要求≥100MΩ，同一项目中对工作站和便携式设备设置不同门槛，且110MΩ为窄区间锁定，构成"参数组合墙"的一部分（与8.2第4项耐极化电压≥±600mV等组合后指向性明显）。</w:t>
      </w:r>
      <w:r>
        <w:rPr>
          <w:rFonts w:hint="eastAsia"/>
          <w:color w:val="FF0000"/>
        </w:rPr>
        <w:t>建议：</w:t>
      </w:r>
      <w:r>
        <w:rPr>
          <w:rFonts w:hint="eastAsia"/>
          <w:color w:val="FF0000"/>
          <w:lang w:eastAsia="zh-CN"/>
        </w:rPr>
        <w:t>请信息科部门说明将“输入阻抗≥110MΩ”及耐极化电压≥±600mV设置为▲关键参数的必要性原因。</w:t>
      </w:r>
    </w:p>
  </w:comment>
  <w:comment w:id="7" w:author="70354" w:date="2026-08-20T12:02:48Z" w:initials="7">
    <w:p w14:paraId="7EE3EEE1">
      <w:pPr>
        <w:pStyle w:val="17"/>
        <w:rPr>
          <w:rFonts w:hint="default" w:eastAsia="宋体"/>
          <w:lang w:val="en-US" w:eastAsia="zh-CN"/>
        </w:rPr>
      </w:pPr>
      <w:r>
        <w:rPr>
          <w:rFonts w:hint="eastAsia"/>
          <w:lang w:val="en-US" w:eastAsia="zh-CN"/>
        </w:rPr>
        <w:t>按照建议修改</w:t>
      </w:r>
    </w:p>
  </w:comment>
  <w:comment w:id="8" w:author="70354" w:date="2026-08-20T12:02:57Z" w:initials="7">
    <w:p w14:paraId="6D625DEC">
      <w:pPr>
        <w:pStyle w:val="17"/>
        <w:rPr>
          <w:rFonts w:hint="default" w:eastAsia="宋体"/>
          <w:lang w:val="en-US" w:eastAsia="zh-CN"/>
        </w:rPr>
      </w:pPr>
      <w:r>
        <w:rPr>
          <w:rFonts w:ascii="Segoe UI" w:hAnsi="Segoe UI" w:eastAsia="Segoe UI" w:cs="Segoe UI"/>
          <w:i w:val="0"/>
          <w:iCs w:val="0"/>
          <w:caps w:val="0"/>
          <w:color w:val="000000"/>
          <w:spacing w:val="0"/>
          <w:sz w:val="7"/>
          <w:szCs w:val="7"/>
          <w:shd w:val="clear" w:fill="FFFFFF"/>
        </w:rPr>
        <w:t>该显示屏参数（≥10英寸彩色液晶触摸屏，分辨率不低于1024×768像素）为迈瑞、理邦、飞利浦、GE医疗等多家主流厂商心电诊断设备普遍配置，满足供应商不少于五家，不存在排他性；该参数同时可保证中标设备具备同步12导联心电诊断的显示要求，防止低</w:t>
      </w:r>
      <w:r>
        <w:rPr>
          <w:rFonts w:hint="eastAsia" w:ascii="Segoe UI" w:hAnsi="Segoe UI" w:eastAsia="宋体" w:cs="Segoe UI"/>
          <w:i w:val="0"/>
          <w:iCs w:val="0"/>
          <w:caps w:val="0"/>
          <w:color w:val="000000"/>
          <w:spacing w:val="0"/>
          <w:sz w:val="7"/>
          <w:szCs w:val="7"/>
          <w:shd w:val="clear" w:fill="FFFFFF"/>
          <w:lang w:val="en-US" w:eastAsia="zh-CN"/>
        </w:rPr>
        <w:t>通</w:t>
      </w:r>
      <w:r>
        <w:rPr>
          <w:rFonts w:ascii="Segoe UI" w:hAnsi="Segoe UI" w:eastAsia="Segoe UI" w:cs="Segoe UI"/>
          <w:i w:val="0"/>
          <w:iCs w:val="0"/>
          <w:caps w:val="0"/>
          <w:color w:val="000000"/>
          <w:spacing w:val="0"/>
          <w:sz w:val="7"/>
          <w:szCs w:val="7"/>
          <w:shd w:val="clear" w:fill="FFFFFF"/>
        </w:rPr>
        <w:t>道心电图机低价冲标、降低项目建设品质</w:t>
      </w:r>
    </w:p>
  </w:comment>
  <w:comment w:id="9" w:author="70354" w:date="2026-08-20T12:13:09Z" w:initials="7">
    <w:p w14:paraId="1CBB22BC">
      <w:pPr>
        <w:pStyle w:val="17"/>
        <w:rPr>
          <w:rFonts w:hint="default" w:eastAsia="宋体"/>
          <w:lang w:val="en-US" w:eastAsia="zh-CN"/>
        </w:rPr>
      </w:pPr>
      <w:r>
        <w:rPr>
          <w:rFonts w:hint="eastAsia"/>
          <w:lang w:val="en-US" w:eastAsia="zh-CN"/>
        </w:rPr>
        <w:t>本项目已经确认走物联网卡传输，外置模块很难保证使用体验，</w:t>
      </w:r>
      <w:r>
        <w:rPr>
          <w:rFonts w:ascii="Segoe UI" w:hAnsi="Segoe UI" w:eastAsia="Segoe UI" w:cs="Segoe UI"/>
          <w:i w:val="0"/>
          <w:iCs w:val="0"/>
          <w:caps w:val="0"/>
          <w:color w:val="000000"/>
          <w:spacing w:val="0"/>
          <w:sz w:val="7"/>
          <w:szCs w:val="7"/>
          <w:shd w:val="clear" w:fill="FFFFFF"/>
        </w:rPr>
        <w:t>主流厂商</w:t>
      </w:r>
      <w:r>
        <w:rPr>
          <w:rFonts w:hint="eastAsia" w:ascii="Segoe UI" w:hAnsi="Segoe UI" w:eastAsia="宋体" w:cs="Segoe UI"/>
          <w:i w:val="0"/>
          <w:iCs w:val="0"/>
          <w:caps w:val="0"/>
          <w:color w:val="000000"/>
          <w:spacing w:val="0"/>
          <w:sz w:val="7"/>
          <w:szCs w:val="7"/>
          <w:shd w:val="clear" w:fill="FFFFFF"/>
          <w:lang w:eastAsia="zh-CN"/>
        </w:rPr>
        <w:t>（</w:t>
      </w:r>
      <w:r>
        <w:rPr>
          <w:rFonts w:hint="eastAsia" w:ascii="Segoe UI" w:hAnsi="Segoe UI" w:eastAsia="宋体" w:cs="Segoe UI"/>
          <w:i w:val="0"/>
          <w:iCs w:val="0"/>
          <w:caps w:val="0"/>
          <w:color w:val="000000"/>
          <w:spacing w:val="0"/>
          <w:sz w:val="7"/>
          <w:szCs w:val="7"/>
          <w:shd w:val="clear" w:fill="FFFFFF"/>
          <w:lang w:val="en-US" w:eastAsia="zh-CN"/>
        </w:rPr>
        <w:t>迈瑞、理邦、纳龙等</w:t>
      </w:r>
      <w:r>
        <w:rPr>
          <w:rFonts w:hint="eastAsia" w:ascii="Segoe UI" w:hAnsi="Segoe UI" w:eastAsia="宋体" w:cs="Segoe UI"/>
          <w:i w:val="0"/>
          <w:iCs w:val="0"/>
          <w:caps w:val="0"/>
          <w:color w:val="000000"/>
          <w:spacing w:val="0"/>
          <w:sz w:val="7"/>
          <w:szCs w:val="7"/>
          <w:shd w:val="clear" w:fill="FFFFFF"/>
          <w:lang w:eastAsia="zh-CN"/>
        </w:rPr>
        <w:t>）</w:t>
      </w:r>
      <w:r>
        <w:rPr>
          <w:rFonts w:hint="eastAsia" w:ascii="Segoe UI" w:hAnsi="Segoe UI" w:eastAsia="宋体" w:cs="Segoe UI"/>
          <w:i w:val="0"/>
          <w:iCs w:val="0"/>
          <w:caps w:val="0"/>
          <w:color w:val="000000"/>
          <w:spacing w:val="0"/>
          <w:sz w:val="7"/>
          <w:szCs w:val="7"/>
          <w:shd w:val="clear" w:fill="FFFFFF"/>
          <w:lang w:val="en-US" w:eastAsia="zh-CN"/>
        </w:rPr>
        <w:t>都</w:t>
      </w:r>
      <w:r>
        <w:rPr>
          <w:rFonts w:hint="eastAsia"/>
          <w:lang w:val="en-US" w:eastAsia="zh-CN"/>
        </w:rPr>
        <w:t>支持内置物联网卡，</w:t>
      </w:r>
      <w:r>
        <w:rPr>
          <w:rFonts w:ascii="Segoe UI" w:hAnsi="Segoe UI" w:eastAsia="Segoe UI" w:cs="Segoe UI"/>
          <w:i w:val="0"/>
          <w:iCs w:val="0"/>
          <w:caps w:val="0"/>
          <w:color w:val="000000"/>
          <w:spacing w:val="0"/>
          <w:sz w:val="7"/>
          <w:szCs w:val="7"/>
          <w:shd w:val="clear" w:fill="FFFFFF"/>
        </w:rPr>
        <w:t>不存在排他性</w:t>
      </w:r>
    </w:p>
  </w:comment>
  <w:comment w:id="10" w:author="70354" w:date="2026-08-20T12:15:43Z" w:initials="7">
    <w:p w14:paraId="0CFD4B51">
      <w:pPr>
        <w:pStyle w:val="17"/>
        <w:rPr>
          <w:rFonts w:hint="default" w:eastAsia="宋体"/>
          <w:lang w:val="en-US" w:eastAsia="zh-CN"/>
        </w:rPr>
      </w:pPr>
      <w:r>
        <w:rPr>
          <w:rFonts w:hint="eastAsia"/>
          <w:lang w:val="en-US" w:eastAsia="zh-CN"/>
        </w:rPr>
        <w:t>按照建议修改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8638D2D" w15:done="0"/>
  <w15:commentEx w15:paraId="6A851332" w15:done="0"/>
  <w15:commentEx w15:paraId="09EEC0BC" w15:done="0"/>
  <w15:commentEx w15:paraId="0DF0F30E" w15:done="0"/>
  <w15:commentEx w15:paraId="3E4EF5EE" w15:done="0"/>
  <w15:commentEx w15:paraId="7A2C3132" w15:done="0"/>
  <w15:commentEx w15:paraId="25E2F8B9" w15:done="0"/>
  <w15:commentEx w15:paraId="7EE3EEE1" w15:done="0"/>
  <w15:commentEx w15:paraId="6D625DEC" w15:done="0"/>
  <w15:commentEx w15:paraId="1CBB22BC" w15:done="0"/>
  <w15:commentEx w15:paraId="0CFD4B5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ＭＳ 明朝">
    <w:altName w:val="XcGJSymbol"/>
    <w:panose1 w:val="00000000000000000000"/>
    <w:charset w:val="00"/>
    <w:family w:val="auto"/>
    <w:pitch w:val="default"/>
    <w:sig w:usb0="00000000" w:usb1="00000000" w:usb2="00000000" w:usb3="00000000" w:csb0="00000000" w:csb1="00000000"/>
  </w:font>
  <w:font w:name="XcGJSymbol">
    <w:panose1 w:val="02000500000000000000"/>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3822111A"/>
    <w:multiLevelType w:val="singleLevel"/>
    <w:tmpl w:val="3822111A"/>
    <w:lvl w:ilvl="0" w:tentative="0">
      <w:start w:val="14"/>
      <w:numFmt w:val="decimal"/>
      <w:suff w:val="nothing"/>
      <w:lvlText w:val="（%1）"/>
      <w:lvlJc w:val="left"/>
      <w:pPr>
        <w:tabs>
          <w:tab w:val="left" w:pos="0"/>
        </w:tabs>
      </w:pPr>
      <w:rPr>
        <w:rFonts w:hint="default"/>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空人生">
    <w15:presenceInfo w15:providerId="WPS Office" w15:userId="434747287"/>
  </w15:person>
  <w15:person w15:author="70354">
    <w15:presenceInfo w15:providerId="None" w15:userId="703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7A725BD"/>
    <w:rsid w:val="0AB01E00"/>
    <w:rsid w:val="17C3523B"/>
    <w:rsid w:val="18D30EBE"/>
    <w:rsid w:val="1D013278"/>
    <w:rsid w:val="27386CD2"/>
    <w:rsid w:val="2D4C246F"/>
    <w:rsid w:val="340C1162"/>
    <w:rsid w:val="37321D6A"/>
    <w:rsid w:val="38166A9F"/>
    <w:rsid w:val="389A0168"/>
    <w:rsid w:val="3BC761BC"/>
    <w:rsid w:val="3D3A2780"/>
    <w:rsid w:val="479E74A1"/>
    <w:rsid w:val="4A53116B"/>
    <w:rsid w:val="51083108"/>
    <w:rsid w:val="5263057C"/>
    <w:rsid w:val="58A43CEC"/>
    <w:rsid w:val="5C70224C"/>
    <w:rsid w:val="66605802"/>
    <w:rsid w:val="670A6922"/>
    <w:rsid w:val="6ED93EE9"/>
    <w:rsid w:val="7D761851"/>
    <w:rsid w:val="7EAC3839"/>
    <w:rsid w:val="7F6A3BDC"/>
  </w:rsids>
  <m:mathPr>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80" w:line="360" w:lineRule="auto"/>
    </w:pPr>
    <w:rPr>
      <w:rFonts w:ascii="宋体" w:hAnsi="宋体" w:eastAsia="宋体" w:cstheme="minorBidi"/>
      <w:sz w:val="21"/>
      <w:szCs w:val="22"/>
      <w:lang w:val="en-US" w:eastAsia="en-US" w:bidi="ar-SA"/>
    </w:rPr>
  </w:style>
  <w:style w:type="paragraph" w:styleId="3">
    <w:name w:val="heading 1"/>
    <w:basedOn w:val="1"/>
    <w:next w:val="1"/>
    <w:link w:val="148"/>
    <w:qFormat/>
    <w:uiPriority w:val="9"/>
    <w:pPr>
      <w:keepNext/>
      <w:keepLines/>
      <w:spacing w:before="480" w:after="0"/>
      <w:outlineLvl w:val="0"/>
    </w:pPr>
    <w:rPr>
      <w:rFonts w:asciiTheme="majorHAnsi" w:hAnsiTheme="majorHAnsi" w:eastAsiaTheme="majorEastAsia" w:cstheme="majorBidi"/>
      <w:b/>
      <w:bCs/>
      <w:color w:val="000000"/>
      <w:sz w:val="32"/>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000000"/>
      <w:sz w:val="28"/>
      <w:szCs w:val="26"/>
    </w:rPr>
  </w:style>
  <w:style w:type="paragraph" w:styleId="5">
    <w:name w:val="heading 3"/>
    <w:basedOn w:val="1"/>
    <w:next w:val="1"/>
    <w:link w:val="138"/>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4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6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6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9"/>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49"/>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1"/>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4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65"/>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50"/>
    <w:unhideWhenUsed/>
    <w:qFormat/>
    <w:uiPriority w:val="99"/>
    <w:pPr>
      <w:spacing w:after="120"/>
    </w:pPr>
  </w:style>
  <w:style w:type="paragraph" w:styleId="21">
    <w:name w:val="Body Text Indent"/>
    <w:basedOn w:val="1"/>
    <w:qFormat/>
    <w:uiPriority w:val="0"/>
    <w:pPr>
      <w:ind w:firstLine="830" w:firstLineChars="352"/>
    </w:pPr>
    <w:rPr>
      <w:rFonts w:ascii="方正仿宋_GB2312" w:eastAsia="方正仿宋_GB2312"/>
      <w:sz w:val="32"/>
      <w:szCs w:val="20"/>
    </w:rPr>
  </w:style>
  <w:style w:type="paragraph" w:styleId="22">
    <w:name w:val="List Number 3"/>
    <w:basedOn w:val="1"/>
    <w:unhideWhenUsed/>
    <w:qFormat/>
    <w:uiPriority w:val="99"/>
    <w:pPr>
      <w:numPr>
        <w:ilvl w:val="0"/>
        <w:numId w:val="5"/>
      </w:numPr>
      <w:contextualSpacing/>
    </w:pPr>
  </w:style>
  <w:style w:type="paragraph" w:styleId="23">
    <w:name w:val="List 2"/>
    <w:basedOn w:val="1"/>
    <w:unhideWhenUsed/>
    <w:qFormat/>
    <w:uiPriority w:val="99"/>
    <w:pPr>
      <w:ind w:left="720" w:hanging="360"/>
      <w:contextualSpacing/>
    </w:pPr>
  </w:style>
  <w:style w:type="paragraph" w:styleId="24">
    <w:name w:val="List Continue"/>
    <w:basedOn w:val="1"/>
    <w:unhideWhenUsed/>
    <w:qFormat/>
    <w:uiPriority w:val="99"/>
    <w:pPr>
      <w:spacing w:after="120"/>
      <w:ind w:left="360"/>
      <w:contextualSpacing/>
    </w:pPr>
  </w:style>
  <w:style w:type="paragraph" w:styleId="25">
    <w:name w:val="List Bullet 2"/>
    <w:basedOn w:val="1"/>
    <w:unhideWhenUsed/>
    <w:qFormat/>
    <w:uiPriority w:val="99"/>
    <w:pPr>
      <w:numPr>
        <w:ilvl w:val="0"/>
        <w:numId w:val="6"/>
      </w:numPr>
      <w:contextualSpacing/>
    </w:pPr>
  </w:style>
  <w:style w:type="paragraph" w:styleId="26">
    <w:name w:val="footer"/>
    <w:basedOn w:val="1"/>
    <w:link w:val="166"/>
    <w:unhideWhenUsed/>
    <w:qFormat/>
    <w:uiPriority w:val="99"/>
    <w:pPr>
      <w:tabs>
        <w:tab w:val="center" w:pos="4680"/>
        <w:tab w:val="right" w:pos="9360"/>
      </w:tabs>
      <w:spacing w:after="0" w:line="240" w:lineRule="auto"/>
    </w:pPr>
  </w:style>
  <w:style w:type="paragraph" w:styleId="27">
    <w:name w:val="header"/>
    <w:basedOn w:val="1"/>
    <w:link w:val="162"/>
    <w:unhideWhenUsed/>
    <w:qFormat/>
    <w:uiPriority w:val="99"/>
    <w:pPr>
      <w:tabs>
        <w:tab w:val="center" w:pos="4680"/>
        <w:tab w:val="right" w:pos="9360"/>
      </w:tabs>
      <w:spacing w:after="0" w:line="240" w:lineRule="auto"/>
    </w:pPr>
  </w:style>
  <w:style w:type="paragraph" w:styleId="28">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52"/>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4">
    <w:name w:val="Body Text First Indent 2"/>
    <w:basedOn w:val="21"/>
    <w:qFormat/>
    <w:uiPriority w:val="99"/>
    <w:pPr>
      <w:ind w:firstLine="420" w:firstLineChars="200"/>
    </w:p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customStyle="1" w:styleId="138">
    <w:name w:val="Heading 3 Char"/>
    <w:basedOn w:val="13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39">
    <w:name w:val="Heading 2 Char"/>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Macro Text Char"/>
    <w:basedOn w:val="135"/>
    <w:link w:val="2"/>
    <w:qFormat/>
    <w:uiPriority w:val="99"/>
    <w:rPr>
      <w:rFonts w:ascii="Courier" w:hAnsi="Courier"/>
      <w:sz w:val="20"/>
      <w:szCs w:val="20"/>
    </w:rPr>
  </w:style>
  <w:style w:type="character" w:customStyle="1" w:styleId="141">
    <w:name w:val="Title Char"/>
    <w:basedOn w:val="135"/>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43">
    <w:name w:val="Subtitle Char"/>
    <w:basedOn w:val="1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customStyle="1" w:styleId="144">
    <w:name w:val="TOC Heading"/>
    <w:basedOn w:val="3"/>
    <w:next w:val="1"/>
    <w:semiHidden/>
    <w:unhideWhenUsed/>
    <w:qFormat/>
    <w:uiPriority w:val="39"/>
    <w:pPr>
      <w:outlineLvl w:val="9"/>
    </w:pPr>
  </w:style>
  <w:style w:type="character" w:customStyle="1" w:styleId="145">
    <w:name w:val="Quote Char"/>
    <w:basedOn w:val="135"/>
    <w:link w:val="146"/>
    <w:qFormat/>
    <w:uiPriority w:val="29"/>
    <w:rPr>
      <w:i/>
      <w:iCs/>
      <w:color w:val="000000" w:themeColor="text1"/>
      <w14:textFill>
        <w14:solidFill>
          <w14:schemeClr w14:val="tx1"/>
        </w14:solidFill>
      </w14:textFill>
    </w:rPr>
  </w:style>
  <w:style w:type="paragraph" w:styleId="146">
    <w:name w:val="Quote"/>
    <w:basedOn w:val="1"/>
    <w:next w:val="1"/>
    <w:link w:val="145"/>
    <w:qFormat/>
    <w:uiPriority w:val="29"/>
    <w:rPr>
      <w:i/>
      <w:iCs/>
      <w:color w:val="000000" w:themeColor="text1"/>
      <w14:textFill>
        <w14:solidFill>
          <w14:schemeClr w14:val="tx1"/>
        </w14:solidFill>
      </w14:textFill>
    </w:rPr>
  </w:style>
  <w:style w:type="character" w:customStyle="1" w:styleId="147">
    <w:name w:val="Book Title"/>
    <w:basedOn w:val="135"/>
    <w:qFormat/>
    <w:uiPriority w:val="33"/>
    <w:rPr>
      <w:b/>
      <w:bCs/>
      <w:smallCaps/>
      <w:spacing w:val="5"/>
    </w:rPr>
  </w:style>
  <w:style w:type="character" w:customStyle="1" w:styleId="148">
    <w:name w:val="Heading 1 Char"/>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9">
    <w:name w:val="Heading 8 Char"/>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0">
    <w:name w:val="Body Text Char"/>
    <w:basedOn w:val="135"/>
    <w:link w:val="20"/>
    <w:qFormat/>
    <w:uiPriority w:val="99"/>
  </w:style>
  <w:style w:type="character" w:customStyle="1" w:styleId="151">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customStyle="1" w:styleId="152">
    <w:name w:val="Body Text 2 Char"/>
    <w:basedOn w:val="135"/>
    <w:link w:val="30"/>
    <w:qFormat/>
    <w:uiPriority w:val="99"/>
  </w:style>
  <w:style w:type="character" w:customStyle="1" w:styleId="153">
    <w:name w:val="Intense Emphasis"/>
    <w:basedOn w:val="135"/>
    <w:qFormat/>
    <w:uiPriority w:val="21"/>
    <w:rPr>
      <w:b/>
      <w:bCs/>
      <w:i/>
      <w:iCs/>
      <w:color w:val="4F81BD" w:themeColor="accent1"/>
      <w14:textFill>
        <w14:solidFill>
          <w14:schemeClr w14:val="accent1"/>
        </w14:solidFill>
      </w14:textFill>
    </w:rPr>
  </w:style>
  <w:style w:type="character" w:customStyle="1" w:styleId="154">
    <w:name w:val="Intense Quote Char"/>
    <w:basedOn w:val="135"/>
    <w:link w:val="155"/>
    <w:qFormat/>
    <w:uiPriority w:val="30"/>
    <w:rPr>
      <w:b/>
      <w:bCs/>
      <w:i/>
      <w:iCs/>
      <w:color w:val="4F81BD" w:themeColor="accent1"/>
      <w14:textFill>
        <w14:solidFill>
          <w14:schemeClr w14:val="accent1"/>
        </w14:solidFill>
      </w14:textFill>
    </w:rPr>
  </w:style>
  <w:style w:type="paragraph" w:styleId="155">
    <w:name w:val="Intense Quote"/>
    <w:basedOn w:val="1"/>
    <w:next w:val="1"/>
    <w:link w:val="154"/>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6">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paragraph" w:styleId="15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58">
    <w:name w:val="Subtle Reference"/>
    <w:basedOn w:val="135"/>
    <w:qFormat/>
    <w:uiPriority w:val="31"/>
    <w:rPr>
      <w:smallCaps/>
      <w:color w:val="C0504D" w:themeColor="accent2"/>
      <w:u w:val="single"/>
      <w14:textFill>
        <w14:solidFill>
          <w14:schemeClr w14:val="accent2"/>
        </w14:solidFill>
      </w14:textFill>
    </w:rPr>
  </w:style>
  <w:style w:type="character" w:customStyle="1" w:styleId="159">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60">
    <w:name w:val="List Paragraph"/>
    <w:basedOn w:val="1"/>
    <w:qFormat/>
    <w:uiPriority w:val="34"/>
    <w:pPr>
      <w:ind w:left="720"/>
      <w:contextualSpacing/>
    </w:pPr>
  </w:style>
  <w:style w:type="character" w:customStyle="1" w:styleId="161">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2">
    <w:name w:val="Header Char"/>
    <w:basedOn w:val="135"/>
    <w:link w:val="27"/>
    <w:qFormat/>
    <w:uiPriority w:val="99"/>
  </w:style>
  <w:style w:type="character" w:customStyle="1" w:styleId="163">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64">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65">
    <w:name w:val="Body Text 3 Char"/>
    <w:basedOn w:val="135"/>
    <w:link w:val="18"/>
    <w:qFormat/>
    <w:uiPriority w:val="99"/>
    <w:rPr>
      <w:sz w:val="16"/>
      <w:szCs w:val="16"/>
    </w:rPr>
  </w:style>
  <w:style w:type="character" w:customStyle="1" w:styleId="166">
    <w:name w:val="Footer Char"/>
    <w:basedOn w:val="135"/>
    <w:link w:val="26"/>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8</Pages>
  <Words>5750</Words>
  <Characters>6037</Characters>
  <TotalTime>21</TotalTime>
  <ScaleCrop>false</ScaleCrop>
  <LinksUpToDate>false</LinksUpToDate>
  <CharactersWithSpaces>6045</CharactersWithSpaces>
  <Application>WPS Office_12.1.0.26988_F1E327BC-269C-435d-A152-05C5408002CA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2026-08-03T14:53:00Z</dcterms:created>
  <dc:creator>70354</dc:creator>
  <cp:lastModifiedBy>招采办冯</cp:lastModifiedBy>
  <dcterms:modified xsi:type="dcterms:W3CDTF">2026-08-28T08:14:53Z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eyJoZGlkIjoiNjYzYmMyYjZmNzkyMmNmZDEzMDJlNjVjZjE1OTBmNDAiLCJ1c2VySWQiOiIxNDAyNzk0NzQ3In0=</vt:lpwstr>
  </property>
  <property fmtid="{D5CDD505-2E9C-101B-9397-08002B2CF9AE}" pid="3" name="KSOProductBuildVer">
    <vt:lpwstr>2052-12.1.0.26988</vt:lpwstr>
  </property>
  <property fmtid="{D5CDD505-2E9C-101B-9397-08002B2CF9AE}" pid="4" name="ICV">
    <vt:lpwstr>2A909D84B3F24CF78304B3AC4B70A76F_13</vt:lpwstr>
  </property>
</Properties>
</file>